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28D1" w14:textId="6E035956" w:rsidR="00922538" w:rsidRPr="008A1A51" w:rsidRDefault="00922538" w:rsidP="003044C5">
      <w:pPr>
        <w:pStyle w:val="absatzschattenbericht"/>
        <w:rPr>
          <w:lang w:val="de-DE"/>
        </w:rPr>
      </w:pPr>
    </w:p>
    <w:p w14:paraId="11872737" w14:textId="08F81CE9" w:rsidR="0033606B" w:rsidRPr="008A1A51" w:rsidRDefault="0033606B" w:rsidP="003044C5">
      <w:pPr>
        <w:pStyle w:val="absatzschattenbericht"/>
        <w:rPr>
          <w:sz w:val="20"/>
          <w:szCs w:val="20"/>
          <w:lang w:val="de-DE"/>
        </w:rPr>
      </w:pPr>
    </w:p>
    <w:p w14:paraId="3179C567" w14:textId="35E72524" w:rsidR="0033606B" w:rsidRPr="008A1A51" w:rsidRDefault="0033606B" w:rsidP="0033606B">
      <w:pPr>
        <w:pStyle w:val="Title1"/>
      </w:pPr>
      <w:r w:rsidRPr="008A1A51">
        <w:t xml:space="preserve">Stellungnahme </w:t>
      </w:r>
      <w:r w:rsidR="00141D3B" w:rsidRPr="008A1A51">
        <w:t>von Zwischengeschlecht.org</w:t>
      </w:r>
      <w:r w:rsidR="00141D3B" w:rsidRPr="008A1A51">
        <w:br/>
      </w:r>
      <w:r w:rsidRPr="008A1A51">
        <w:t xml:space="preserve">zum </w:t>
      </w:r>
      <w:r w:rsidR="00ED5A09" w:rsidRPr="008A1A51">
        <w:t>BMJV</w:t>
      </w:r>
      <w:r w:rsidR="00141D3B" w:rsidRPr="008A1A51">
        <w:t>-“</w:t>
      </w:r>
      <w:r w:rsidRPr="008A1A51">
        <w:t>Referentenentwurf eines Gesetzes zum Schutz von Kindern vor geschlechtsverändernden operativen Eingriffen</w:t>
      </w:r>
      <w:r w:rsidR="00141D3B" w:rsidRPr="008A1A51">
        <w:t>”</w:t>
      </w:r>
    </w:p>
    <w:p w14:paraId="08C67BD6" w14:textId="5B9908FB" w:rsidR="008200CA" w:rsidRPr="008A1A51" w:rsidRDefault="008200CA" w:rsidP="001076AB">
      <w:pPr>
        <w:pStyle w:val="absatzschattenbericht"/>
        <w:rPr>
          <w:sz w:val="20"/>
          <w:szCs w:val="20"/>
          <w:lang w:val="de-DE"/>
        </w:rPr>
      </w:pPr>
    </w:p>
    <w:p w14:paraId="7486F834" w14:textId="01DE7266" w:rsidR="008200CA" w:rsidRPr="008A1A51" w:rsidRDefault="008200CA" w:rsidP="008200CA">
      <w:pPr>
        <w:pStyle w:val="Title2"/>
        <w:rPr>
          <w:lang w:val="de-DE"/>
        </w:rPr>
      </w:pPr>
      <w:r w:rsidRPr="008A1A51">
        <w:rPr>
          <w:lang w:val="de-DE"/>
        </w:rPr>
        <w:t>Zusammenfassung</w:t>
      </w:r>
    </w:p>
    <w:p w14:paraId="0612AC0B" w14:textId="0F2C3F62" w:rsidR="007A483E" w:rsidRPr="008A1A51" w:rsidRDefault="00931E2A" w:rsidP="007A483E">
      <w:pPr>
        <w:pStyle w:val="absatzschattenbericht"/>
        <w:spacing w:after="80"/>
        <w:rPr>
          <w:lang w:val="de-DE"/>
        </w:rPr>
      </w:pPr>
      <w:r w:rsidRPr="008A1A51">
        <w:rPr>
          <w:lang w:val="de-DE"/>
        </w:rPr>
        <w:t xml:space="preserve">Die Intersex-NGO </w:t>
      </w:r>
      <w:r w:rsidR="00240D02" w:rsidRPr="008A1A51">
        <w:rPr>
          <w:lang w:val="de-DE"/>
        </w:rPr>
        <w:t xml:space="preserve">Zwischengeschlecht.org </w:t>
      </w:r>
      <w:r w:rsidR="00C7015B" w:rsidRPr="008A1A51">
        <w:rPr>
          <w:lang w:val="de-DE"/>
        </w:rPr>
        <w:t>(</w:t>
      </w:r>
      <w:r w:rsidR="00C35405" w:rsidRPr="008A1A51">
        <w:rPr>
          <w:lang w:val="de-DE"/>
        </w:rPr>
        <w:t xml:space="preserve">siehe </w:t>
      </w:r>
      <w:r w:rsidR="00C7015B" w:rsidRPr="008A1A51">
        <w:rPr>
          <w:lang w:val="de-DE"/>
        </w:rPr>
        <w:t xml:space="preserve">S. </w:t>
      </w:r>
      <w:r w:rsidR="00AA51BE">
        <w:rPr>
          <w:lang w:val="de-DE"/>
        </w:rPr>
        <w:t>8</w:t>
      </w:r>
      <w:r w:rsidR="00746909">
        <w:rPr>
          <w:lang w:val="de-DE"/>
        </w:rPr>
        <w:t>-9</w:t>
      </w:r>
      <w:r w:rsidR="00C7015B" w:rsidRPr="008A1A51">
        <w:rPr>
          <w:lang w:val="de-DE"/>
        </w:rPr>
        <w:t xml:space="preserve">) </w:t>
      </w:r>
      <w:r w:rsidR="00240D02" w:rsidRPr="008A1A51">
        <w:rPr>
          <w:lang w:val="de-DE"/>
        </w:rPr>
        <w:t xml:space="preserve">begrüßt, dass die Bundesregierung nach langen Jahren folgenloser Versprechungen und Fachtagungen nun endlich Intersex-Kinder wirksam vor unnötigen Genitaloperationen schützen will, und </w:t>
      </w:r>
      <w:r w:rsidRPr="008A1A51">
        <w:rPr>
          <w:lang w:val="de-DE"/>
        </w:rPr>
        <w:t xml:space="preserve">dass </w:t>
      </w:r>
      <w:r w:rsidR="00240D02" w:rsidRPr="008A1A51">
        <w:rPr>
          <w:lang w:val="de-DE"/>
        </w:rPr>
        <w:t xml:space="preserve">das </w:t>
      </w:r>
      <w:r w:rsidR="006575D4" w:rsidRPr="008A1A51">
        <w:rPr>
          <w:lang w:val="de-DE"/>
        </w:rPr>
        <w:t xml:space="preserve">Bundesministerium der Justiz und </w:t>
      </w:r>
      <w:proofErr w:type="spellStart"/>
      <w:r w:rsidR="006575D4" w:rsidRPr="008A1A51">
        <w:rPr>
          <w:lang w:val="de-DE"/>
        </w:rPr>
        <w:t>für</w:t>
      </w:r>
      <w:proofErr w:type="spellEnd"/>
      <w:r w:rsidR="006575D4" w:rsidRPr="008A1A51">
        <w:rPr>
          <w:lang w:val="de-DE"/>
        </w:rPr>
        <w:t xml:space="preserve"> Verbraucherschutz</w:t>
      </w:r>
      <w:r w:rsidR="00207892" w:rsidRPr="008A1A51">
        <w:rPr>
          <w:lang w:val="de-DE"/>
        </w:rPr>
        <w:t>,</w:t>
      </w:r>
      <w:r w:rsidR="00240D02" w:rsidRPr="008A1A51">
        <w:rPr>
          <w:lang w:val="de-DE"/>
        </w:rPr>
        <w:t xml:space="preserve"> </w:t>
      </w:r>
      <w:r w:rsidR="00207892" w:rsidRPr="008A1A51">
        <w:rPr>
          <w:lang w:val="de-DE"/>
        </w:rPr>
        <w:t>unter Berufung auf die Forderungen Betroffener und ihrer Organisationen sowie auf Grund- und Menschenrechte, dazu einen Referentenentwurf zur Diskussion stellt.</w:t>
      </w:r>
      <w:r w:rsidRPr="008A1A51">
        <w:rPr>
          <w:lang w:val="de-DE"/>
        </w:rPr>
        <w:t xml:space="preserve"> </w:t>
      </w:r>
      <w:r w:rsidRPr="008A1A51">
        <w:rPr>
          <w:b/>
          <w:bCs/>
          <w:lang w:val="de-DE"/>
        </w:rPr>
        <w:t xml:space="preserve">Leider missachtet und verkennt der BMJV-Entwurf jedoch die </w:t>
      </w:r>
      <w:r w:rsidR="00571511" w:rsidRPr="008A1A51">
        <w:rPr>
          <w:b/>
          <w:bCs/>
          <w:lang w:val="de-DE"/>
        </w:rPr>
        <w:t xml:space="preserve">Forderungen der </w:t>
      </w:r>
      <w:r w:rsidRPr="008A1A51">
        <w:rPr>
          <w:b/>
          <w:bCs/>
          <w:lang w:val="de-DE"/>
        </w:rPr>
        <w:t>Betroffene</w:t>
      </w:r>
      <w:r w:rsidR="006E124B" w:rsidRPr="008A1A51">
        <w:rPr>
          <w:b/>
          <w:bCs/>
          <w:lang w:val="de-DE"/>
        </w:rPr>
        <w:t>n</w:t>
      </w:r>
      <w:r w:rsidRPr="008A1A51">
        <w:rPr>
          <w:b/>
          <w:bCs/>
          <w:lang w:val="de-DE"/>
        </w:rPr>
        <w:t xml:space="preserve"> und ihre Grund- und Menschenrechte massiv, weshalb er in der vorliegenden Form </w:t>
      </w:r>
      <w:r w:rsidR="006E124B" w:rsidRPr="008A1A51">
        <w:rPr>
          <w:b/>
          <w:bCs/>
          <w:lang w:val="de-DE"/>
        </w:rPr>
        <w:t>zwecks Nachbesserung zurückzuweisen ist.</w:t>
      </w:r>
      <w:r w:rsidR="00571511" w:rsidRPr="008A1A51">
        <w:rPr>
          <w:lang w:val="de-DE"/>
        </w:rPr>
        <w:t xml:space="preserve"> </w:t>
      </w:r>
    </w:p>
    <w:p w14:paraId="5400D5A9" w14:textId="6BF08B08" w:rsidR="00240D02" w:rsidRPr="008A1A51" w:rsidRDefault="00571511" w:rsidP="007A483E">
      <w:pPr>
        <w:pStyle w:val="absatzschattenbericht"/>
        <w:spacing w:after="80"/>
        <w:rPr>
          <w:lang w:val="de-DE"/>
        </w:rPr>
      </w:pPr>
      <w:r w:rsidRPr="008A1A51">
        <w:rPr>
          <w:lang w:val="de-DE"/>
        </w:rPr>
        <w:t>Insbesondere</w:t>
      </w:r>
      <w:r w:rsidR="007A483E" w:rsidRPr="008A1A51">
        <w:rPr>
          <w:lang w:val="de-DE"/>
        </w:rPr>
        <w:t xml:space="preserve"> bemängeln wir, dass der Referentenentwurf</w:t>
      </w:r>
    </w:p>
    <w:p w14:paraId="28DD42CF" w14:textId="2F88518B" w:rsidR="00571511" w:rsidRPr="008A1A51" w:rsidRDefault="00D669B6" w:rsidP="007A483E">
      <w:pPr>
        <w:pStyle w:val="absatzschattenbericht"/>
        <w:numPr>
          <w:ilvl w:val="0"/>
          <w:numId w:val="17"/>
        </w:numPr>
        <w:spacing w:after="80"/>
        <w:rPr>
          <w:lang w:val="de-DE"/>
        </w:rPr>
      </w:pPr>
      <w:r w:rsidRPr="008A1A51">
        <w:rPr>
          <w:lang w:val="de-DE"/>
        </w:rPr>
        <w:t xml:space="preserve">Intersex-Kinder nur </w:t>
      </w:r>
      <w:r w:rsidRPr="008A1A51">
        <w:rPr>
          <w:b/>
          <w:bCs/>
          <w:lang w:val="de-DE"/>
        </w:rPr>
        <w:t xml:space="preserve">teilweise und eingeschränkt vor </w:t>
      </w:r>
      <w:proofErr w:type="spellStart"/>
      <w:r w:rsidRPr="008A1A51">
        <w:rPr>
          <w:b/>
          <w:bCs/>
          <w:lang w:val="de-DE"/>
        </w:rPr>
        <w:t>uneingewilligten</w:t>
      </w:r>
      <w:proofErr w:type="spellEnd"/>
      <w:r w:rsidRPr="008A1A51">
        <w:rPr>
          <w:b/>
          <w:bCs/>
          <w:lang w:val="de-DE"/>
        </w:rPr>
        <w:t xml:space="preserve">, </w:t>
      </w:r>
      <w:r w:rsidR="0016348A" w:rsidRPr="008A1A51">
        <w:rPr>
          <w:b/>
          <w:bCs/>
          <w:lang w:val="de-DE"/>
        </w:rPr>
        <w:t xml:space="preserve">unnötigen und </w:t>
      </w:r>
      <w:r w:rsidRPr="008A1A51">
        <w:rPr>
          <w:b/>
          <w:bCs/>
          <w:lang w:val="de-DE"/>
        </w:rPr>
        <w:t>schädlichen Eingriffen schützen</w:t>
      </w:r>
      <w:r w:rsidRPr="008A1A51">
        <w:rPr>
          <w:lang w:val="de-DE"/>
        </w:rPr>
        <w:t xml:space="preserve">, und im Gegenzug </w:t>
      </w:r>
      <w:r w:rsidR="007A483E" w:rsidRPr="008A1A51">
        <w:rPr>
          <w:lang w:val="de-DE"/>
        </w:rPr>
        <w:t>u.a.</w:t>
      </w:r>
      <w:r w:rsidRPr="008A1A51">
        <w:rPr>
          <w:lang w:val="de-DE"/>
        </w:rPr>
        <w:t xml:space="preserve"> die </w:t>
      </w:r>
      <w:r w:rsidRPr="008A1A51">
        <w:rPr>
          <w:b/>
          <w:bCs/>
          <w:lang w:val="de-DE"/>
        </w:rPr>
        <w:t>häufigsten unnötigen Eingriffe explizit erlauben</w:t>
      </w:r>
      <w:r w:rsidR="00C7015B" w:rsidRPr="008A1A51">
        <w:rPr>
          <w:lang w:val="de-DE"/>
        </w:rPr>
        <w:t xml:space="preserve"> </w:t>
      </w:r>
      <w:r w:rsidR="007A483E" w:rsidRPr="008A1A51">
        <w:rPr>
          <w:lang w:val="de-DE"/>
        </w:rPr>
        <w:t xml:space="preserve">will </w:t>
      </w:r>
      <w:r w:rsidR="00C7015B" w:rsidRPr="008A1A51">
        <w:rPr>
          <w:lang w:val="de-DE"/>
        </w:rPr>
        <w:t xml:space="preserve">(S. </w:t>
      </w:r>
      <w:r w:rsidR="00A321B1">
        <w:rPr>
          <w:lang w:val="de-DE"/>
        </w:rPr>
        <w:t>2</w:t>
      </w:r>
      <w:r w:rsidR="00746909">
        <w:rPr>
          <w:lang w:val="de-DE"/>
        </w:rPr>
        <w:t>-3</w:t>
      </w:r>
      <w:r w:rsidR="00C7015B" w:rsidRPr="008A1A51">
        <w:rPr>
          <w:lang w:val="de-DE"/>
        </w:rPr>
        <w:t>)</w:t>
      </w:r>
    </w:p>
    <w:p w14:paraId="0E6861DA" w14:textId="47ED8A4E" w:rsidR="00923419" w:rsidRPr="008A1A51" w:rsidRDefault="00D669B6" w:rsidP="007A483E">
      <w:pPr>
        <w:pStyle w:val="absatzschattenbericht"/>
        <w:numPr>
          <w:ilvl w:val="0"/>
          <w:numId w:val="17"/>
        </w:numPr>
        <w:spacing w:after="80"/>
        <w:rPr>
          <w:lang w:val="de-DE"/>
        </w:rPr>
      </w:pPr>
      <w:r w:rsidRPr="008A1A51">
        <w:rPr>
          <w:lang w:val="de-DE"/>
        </w:rPr>
        <w:t xml:space="preserve">mit der </w:t>
      </w:r>
      <w:r w:rsidR="00BD0D99" w:rsidRPr="008A1A51">
        <w:rPr>
          <w:lang w:val="de-DE"/>
        </w:rPr>
        <w:t>Pseudo-</w:t>
      </w:r>
      <w:r w:rsidRPr="008A1A51">
        <w:rPr>
          <w:lang w:val="de-DE"/>
        </w:rPr>
        <w:t>Unterscheidung zwischen “geschlechts</w:t>
      </w:r>
      <w:r w:rsidR="00146777" w:rsidRPr="008A1A51">
        <w:rPr>
          <w:lang w:val="de-DE"/>
        </w:rPr>
        <w:t xml:space="preserve">angleichenden” und “geschlechtsverändernden” Eingriffen </w:t>
      </w:r>
      <w:r w:rsidR="00BD0D99" w:rsidRPr="008A1A51">
        <w:rPr>
          <w:lang w:val="de-DE"/>
        </w:rPr>
        <w:t>unzulässig auf die</w:t>
      </w:r>
      <w:r w:rsidR="00BD0D99" w:rsidRPr="008A1A51">
        <w:rPr>
          <w:b/>
          <w:bCs/>
          <w:lang w:val="de-DE"/>
        </w:rPr>
        <w:t xml:space="preserve"> Wahrnehmung der </w:t>
      </w:r>
      <w:r w:rsidR="001E759A" w:rsidRPr="008A1A51">
        <w:rPr>
          <w:b/>
          <w:bCs/>
          <w:lang w:val="de-DE"/>
        </w:rPr>
        <w:t xml:space="preserve">fehlbaren </w:t>
      </w:r>
      <w:proofErr w:type="spellStart"/>
      <w:r w:rsidR="001E759A" w:rsidRPr="008A1A51">
        <w:rPr>
          <w:b/>
          <w:bCs/>
          <w:lang w:val="de-DE"/>
        </w:rPr>
        <w:t>MedizinerInnen</w:t>
      </w:r>
      <w:proofErr w:type="spellEnd"/>
      <w:r w:rsidR="00BD0D99" w:rsidRPr="008A1A51">
        <w:rPr>
          <w:b/>
          <w:bCs/>
          <w:lang w:val="de-DE"/>
        </w:rPr>
        <w:t xml:space="preserve"> ab</w:t>
      </w:r>
      <w:r w:rsidR="007A483E" w:rsidRPr="008A1A51">
        <w:rPr>
          <w:b/>
          <w:bCs/>
          <w:lang w:val="de-DE"/>
        </w:rPr>
        <w:t>stellt</w:t>
      </w:r>
      <w:r w:rsidR="00BD0D99" w:rsidRPr="008A1A51">
        <w:rPr>
          <w:b/>
          <w:bCs/>
          <w:lang w:val="de-DE"/>
        </w:rPr>
        <w:t xml:space="preserve"> statt auf die Auswirkungen für die betroffene Person und ihre </w:t>
      </w:r>
      <w:r w:rsidR="00396E38" w:rsidRPr="008A1A51">
        <w:rPr>
          <w:b/>
          <w:bCs/>
          <w:lang w:val="de-DE"/>
        </w:rPr>
        <w:t xml:space="preserve">unabdingbaren </w:t>
      </w:r>
      <w:r w:rsidR="00BD0D99" w:rsidRPr="008A1A51">
        <w:rPr>
          <w:b/>
          <w:bCs/>
          <w:lang w:val="de-DE"/>
        </w:rPr>
        <w:t>Grund- und Menschenrechte</w:t>
      </w:r>
      <w:r w:rsidR="00C7015B" w:rsidRPr="008A1A51">
        <w:rPr>
          <w:lang w:val="de-DE"/>
        </w:rPr>
        <w:t xml:space="preserve"> (S. </w:t>
      </w:r>
      <w:r w:rsidR="00A321B1">
        <w:rPr>
          <w:lang w:val="de-DE"/>
        </w:rPr>
        <w:t>4</w:t>
      </w:r>
      <w:r w:rsidR="00C7015B" w:rsidRPr="008A1A51">
        <w:rPr>
          <w:lang w:val="de-DE"/>
        </w:rPr>
        <w:t>)</w:t>
      </w:r>
    </w:p>
    <w:p w14:paraId="05B86C26" w14:textId="1BAD0B27" w:rsidR="00923419" w:rsidRPr="008A1A51" w:rsidRDefault="000828C8" w:rsidP="007A483E">
      <w:pPr>
        <w:pStyle w:val="absatzschattenbericht"/>
        <w:numPr>
          <w:ilvl w:val="0"/>
          <w:numId w:val="17"/>
        </w:numPr>
        <w:spacing w:after="80"/>
        <w:rPr>
          <w:lang w:val="de-DE"/>
        </w:rPr>
      </w:pPr>
      <w:r w:rsidRPr="008A1A51">
        <w:rPr>
          <w:b/>
          <w:bCs/>
          <w:lang w:val="de-DE"/>
        </w:rPr>
        <w:t>ma</w:t>
      </w:r>
      <w:r w:rsidR="00396E38" w:rsidRPr="008A1A51">
        <w:rPr>
          <w:b/>
          <w:bCs/>
          <w:lang w:val="de-DE"/>
        </w:rPr>
        <w:t>ß</w:t>
      </w:r>
      <w:r w:rsidRPr="008A1A51">
        <w:rPr>
          <w:b/>
          <w:bCs/>
          <w:lang w:val="de-DE"/>
        </w:rPr>
        <w:t>gebliche Grund- und Menschenrechte sowie UN-Empfehlungen nur selektiv und unvollständig</w:t>
      </w:r>
      <w:r w:rsidR="007A483E" w:rsidRPr="008A1A51">
        <w:rPr>
          <w:b/>
          <w:bCs/>
          <w:lang w:val="de-DE"/>
        </w:rPr>
        <w:t xml:space="preserve"> würdigt</w:t>
      </w:r>
      <w:r w:rsidRPr="008A1A51">
        <w:rPr>
          <w:lang w:val="de-DE"/>
        </w:rPr>
        <w:t xml:space="preserve">, </w:t>
      </w:r>
      <w:r w:rsidR="00796DEE" w:rsidRPr="008A1A51">
        <w:rPr>
          <w:lang w:val="de-DE"/>
        </w:rPr>
        <w:t xml:space="preserve">u.a. </w:t>
      </w:r>
      <w:r w:rsidRPr="008A1A51">
        <w:rPr>
          <w:lang w:val="de-DE"/>
        </w:rPr>
        <w:t xml:space="preserve">indem er einseitig auf </w:t>
      </w:r>
      <w:r w:rsidR="0054174A" w:rsidRPr="008A1A51">
        <w:rPr>
          <w:lang w:val="de-DE"/>
        </w:rPr>
        <w:t xml:space="preserve">ein </w:t>
      </w:r>
      <w:r w:rsidR="00D50E44" w:rsidRPr="008A1A51">
        <w:rPr>
          <w:lang w:val="de-DE"/>
        </w:rPr>
        <w:t>(</w:t>
      </w:r>
      <w:r w:rsidR="0054174A" w:rsidRPr="008A1A51">
        <w:rPr>
          <w:lang w:val="de-DE"/>
        </w:rPr>
        <w:t>unbelegtes</w:t>
      </w:r>
      <w:r w:rsidR="00D50E44" w:rsidRPr="008A1A51">
        <w:rPr>
          <w:lang w:val="de-DE"/>
        </w:rPr>
        <w:t>)</w:t>
      </w:r>
      <w:r w:rsidRPr="008A1A51">
        <w:rPr>
          <w:lang w:val="de-DE"/>
        </w:rPr>
        <w:t xml:space="preserve"> “Recht des Kindes auf geschlechtliche Selbstbestimmung” abstellt, </w:t>
      </w:r>
      <w:r w:rsidR="00396E38" w:rsidRPr="008A1A51">
        <w:rPr>
          <w:lang w:val="de-DE"/>
        </w:rPr>
        <w:t>hingegen</w:t>
      </w:r>
      <w:r w:rsidRPr="008A1A51">
        <w:rPr>
          <w:lang w:val="de-DE"/>
        </w:rPr>
        <w:t xml:space="preserve"> die</w:t>
      </w:r>
      <w:r w:rsidR="0054174A" w:rsidRPr="008A1A51">
        <w:rPr>
          <w:lang w:val="de-DE"/>
        </w:rPr>
        <w:t xml:space="preserve"> entscheidenden</w:t>
      </w:r>
      <w:r w:rsidRPr="008A1A51">
        <w:rPr>
          <w:lang w:val="de-DE"/>
        </w:rPr>
        <w:t xml:space="preserve"> </w:t>
      </w:r>
      <w:r w:rsidRPr="008A1A51">
        <w:rPr>
          <w:b/>
          <w:bCs/>
          <w:lang w:val="de-DE"/>
        </w:rPr>
        <w:t xml:space="preserve">unabdingbaren Menschenrechte </w:t>
      </w:r>
      <w:r w:rsidR="00396E38" w:rsidRPr="008A1A51">
        <w:rPr>
          <w:lang w:val="de-DE"/>
        </w:rPr>
        <w:t>auf Schutz vor</w:t>
      </w:r>
      <w:r w:rsidR="00396E38" w:rsidRPr="008A1A51">
        <w:rPr>
          <w:b/>
          <w:bCs/>
          <w:lang w:val="de-DE"/>
        </w:rPr>
        <w:t xml:space="preserve"> unmenschlicher Behandlung, schädlichen Praktiken </w:t>
      </w:r>
      <w:r w:rsidR="00396E38" w:rsidRPr="008A1A51">
        <w:rPr>
          <w:lang w:val="de-DE"/>
        </w:rPr>
        <w:t>u.a.m.</w:t>
      </w:r>
      <w:r w:rsidR="00396E38" w:rsidRPr="008A1A51">
        <w:rPr>
          <w:b/>
          <w:bCs/>
          <w:lang w:val="de-DE"/>
        </w:rPr>
        <w:t xml:space="preserve"> </w:t>
      </w:r>
      <w:r w:rsidR="0054174A" w:rsidRPr="008A1A51">
        <w:rPr>
          <w:b/>
          <w:bCs/>
          <w:lang w:val="de-DE"/>
        </w:rPr>
        <w:t xml:space="preserve">vollständig </w:t>
      </w:r>
      <w:r w:rsidR="00396E38" w:rsidRPr="008A1A51">
        <w:rPr>
          <w:b/>
          <w:bCs/>
          <w:lang w:val="de-DE"/>
        </w:rPr>
        <w:t>missachtet</w:t>
      </w:r>
      <w:r w:rsidR="00C7015B" w:rsidRPr="008A1A51">
        <w:rPr>
          <w:lang w:val="de-DE"/>
        </w:rPr>
        <w:t xml:space="preserve"> (S. </w:t>
      </w:r>
      <w:r w:rsidR="00A321B1">
        <w:rPr>
          <w:lang w:val="de-DE"/>
        </w:rPr>
        <w:t>4</w:t>
      </w:r>
      <w:r w:rsidR="00746909">
        <w:rPr>
          <w:lang w:val="de-DE"/>
        </w:rPr>
        <w:t>-7</w:t>
      </w:r>
      <w:r w:rsidR="00C7015B" w:rsidRPr="008A1A51">
        <w:rPr>
          <w:lang w:val="de-DE"/>
        </w:rPr>
        <w:t>)</w:t>
      </w:r>
    </w:p>
    <w:p w14:paraId="77415453" w14:textId="7E0D0F5A" w:rsidR="002A09F4" w:rsidRPr="008A1A51" w:rsidRDefault="002A09F4" w:rsidP="007A483E">
      <w:pPr>
        <w:pStyle w:val="absatzschattenbericht"/>
        <w:numPr>
          <w:ilvl w:val="0"/>
          <w:numId w:val="17"/>
        </w:numPr>
        <w:spacing w:after="80"/>
        <w:rPr>
          <w:lang w:val="de-DE"/>
        </w:rPr>
      </w:pPr>
      <w:r w:rsidRPr="008A1A51">
        <w:rPr>
          <w:b/>
          <w:bCs/>
          <w:lang w:val="de-DE"/>
        </w:rPr>
        <w:t>Minimalanforderungen</w:t>
      </w:r>
      <w:r w:rsidRPr="008A1A51">
        <w:rPr>
          <w:lang w:val="de-DE"/>
        </w:rPr>
        <w:t xml:space="preserve"> </w:t>
      </w:r>
      <w:r w:rsidR="000C09E2" w:rsidRPr="008A1A51">
        <w:rPr>
          <w:lang w:val="de-DE"/>
        </w:rPr>
        <w:t>für einen wirksamen</w:t>
      </w:r>
      <w:r w:rsidRPr="008A1A51">
        <w:rPr>
          <w:lang w:val="de-DE"/>
        </w:rPr>
        <w:t xml:space="preserve"> Schutz vor schweren Verletzungen unabdingbarer Menschenrechte</w:t>
      </w:r>
      <w:r w:rsidR="009A05B0" w:rsidRPr="008A1A51">
        <w:rPr>
          <w:lang w:val="de-DE"/>
        </w:rPr>
        <w:t xml:space="preserve"> an Intersex-Kindern</w:t>
      </w:r>
      <w:r w:rsidR="007A483E" w:rsidRPr="008A1A51">
        <w:rPr>
          <w:lang w:val="de-DE"/>
        </w:rPr>
        <w:t xml:space="preserve"> </w:t>
      </w:r>
      <w:r w:rsidR="007A483E" w:rsidRPr="008A1A51">
        <w:rPr>
          <w:b/>
          <w:bCs/>
          <w:lang w:val="de-DE"/>
        </w:rPr>
        <w:t>missachtet</w:t>
      </w:r>
      <w:r w:rsidR="009A05B0" w:rsidRPr="008A1A51">
        <w:rPr>
          <w:lang w:val="de-DE"/>
        </w:rPr>
        <w:t xml:space="preserve">, u.a. </w:t>
      </w:r>
      <w:r w:rsidR="009A05B0" w:rsidRPr="008A1A51">
        <w:rPr>
          <w:b/>
          <w:bCs/>
          <w:lang w:val="de-DE"/>
        </w:rPr>
        <w:t>Beendigung der Straflosigkeit</w:t>
      </w:r>
      <w:r w:rsidR="000C09E2" w:rsidRPr="008A1A51">
        <w:rPr>
          <w:lang w:val="de-DE"/>
        </w:rPr>
        <w:t xml:space="preserve"> durch</w:t>
      </w:r>
      <w:r w:rsidR="009A05B0" w:rsidRPr="008A1A51">
        <w:rPr>
          <w:lang w:val="de-DE"/>
        </w:rPr>
        <w:t xml:space="preserve"> </w:t>
      </w:r>
      <w:r w:rsidR="009A05B0" w:rsidRPr="008A1A51">
        <w:rPr>
          <w:b/>
          <w:bCs/>
          <w:lang w:val="de-DE"/>
        </w:rPr>
        <w:t>Kriminalisierung oder angemessene Sanktionen</w:t>
      </w:r>
      <w:r w:rsidR="009A05B0" w:rsidRPr="008A1A51">
        <w:rPr>
          <w:lang w:val="de-DE"/>
        </w:rPr>
        <w:t xml:space="preserve">, </w:t>
      </w:r>
      <w:r w:rsidR="009A05B0" w:rsidRPr="008A1A51">
        <w:rPr>
          <w:b/>
          <w:bCs/>
          <w:lang w:val="de-DE"/>
        </w:rPr>
        <w:t>Rechtszugang</w:t>
      </w:r>
      <w:r w:rsidR="00F30910" w:rsidRPr="008A1A51">
        <w:rPr>
          <w:lang w:val="de-DE"/>
        </w:rPr>
        <w:t xml:space="preserve"> für Betroffene</w:t>
      </w:r>
      <w:r w:rsidR="00C7015B" w:rsidRPr="008A1A51">
        <w:rPr>
          <w:lang w:val="de-DE"/>
        </w:rPr>
        <w:t xml:space="preserve"> u.a. durch Anpassung der </w:t>
      </w:r>
      <w:r w:rsidR="00C7015B" w:rsidRPr="008A1A51">
        <w:rPr>
          <w:b/>
          <w:bCs/>
          <w:lang w:val="de-DE"/>
        </w:rPr>
        <w:t>Verjährungsfristen</w:t>
      </w:r>
      <w:r w:rsidR="00F30910" w:rsidRPr="008A1A51">
        <w:rPr>
          <w:lang w:val="de-DE"/>
        </w:rPr>
        <w:t xml:space="preserve">, Recht auf </w:t>
      </w:r>
      <w:r w:rsidR="000C09E2" w:rsidRPr="008A1A51">
        <w:rPr>
          <w:b/>
          <w:bCs/>
          <w:lang w:val="de-DE"/>
        </w:rPr>
        <w:t xml:space="preserve">Entschädigung, </w:t>
      </w:r>
      <w:r w:rsidR="00F30910" w:rsidRPr="008A1A51">
        <w:rPr>
          <w:b/>
          <w:bCs/>
          <w:lang w:val="de-DE"/>
        </w:rPr>
        <w:t>Wiedergutmachung und Rehabilitierung</w:t>
      </w:r>
      <w:r w:rsidR="00C7015B" w:rsidRPr="008A1A51">
        <w:rPr>
          <w:lang w:val="de-DE"/>
        </w:rPr>
        <w:t xml:space="preserve"> (S. </w:t>
      </w:r>
      <w:r w:rsidR="00A321B1">
        <w:rPr>
          <w:lang w:val="de-DE"/>
        </w:rPr>
        <w:t>7</w:t>
      </w:r>
      <w:r w:rsidR="00C7015B" w:rsidRPr="008A1A51">
        <w:rPr>
          <w:lang w:val="de-DE"/>
        </w:rPr>
        <w:t>)</w:t>
      </w:r>
    </w:p>
    <w:p w14:paraId="6E93B47A" w14:textId="2EC6A519" w:rsidR="008200CA" w:rsidRPr="008A1A51" w:rsidRDefault="00190955" w:rsidP="007A483E">
      <w:pPr>
        <w:pStyle w:val="absatzschattenbericht"/>
        <w:numPr>
          <w:ilvl w:val="0"/>
          <w:numId w:val="17"/>
        </w:numPr>
        <w:rPr>
          <w:lang w:val="de-DE"/>
        </w:rPr>
      </w:pPr>
      <w:r w:rsidRPr="008A1A51">
        <w:rPr>
          <w:lang w:val="de-DE"/>
        </w:rPr>
        <w:t xml:space="preserve">einseitig auf </w:t>
      </w:r>
      <w:r w:rsidRPr="008A1A51">
        <w:rPr>
          <w:b/>
          <w:bCs/>
          <w:lang w:val="de-DE"/>
        </w:rPr>
        <w:t xml:space="preserve">entwürdigende, stigmatisierende und </w:t>
      </w:r>
      <w:proofErr w:type="spellStart"/>
      <w:r w:rsidRPr="008A1A51">
        <w:rPr>
          <w:b/>
          <w:bCs/>
          <w:lang w:val="de-DE"/>
        </w:rPr>
        <w:t>pathologisierende</w:t>
      </w:r>
      <w:proofErr w:type="spellEnd"/>
      <w:r w:rsidRPr="008A1A51">
        <w:rPr>
          <w:b/>
          <w:bCs/>
          <w:lang w:val="de-DE"/>
        </w:rPr>
        <w:t xml:space="preserve"> medizinische Sichtweise und </w:t>
      </w:r>
      <w:r w:rsidR="00D50E44" w:rsidRPr="008A1A51">
        <w:rPr>
          <w:b/>
          <w:bCs/>
          <w:lang w:val="de-DE"/>
        </w:rPr>
        <w:t>Expertise</w:t>
      </w:r>
      <w:r w:rsidRPr="008A1A51">
        <w:rPr>
          <w:lang w:val="de-DE"/>
        </w:rPr>
        <w:t xml:space="preserve"> ab</w:t>
      </w:r>
      <w:r w:rsidR="007A483E" w:rsidRPr="008A1A51">
        <w:rPr>
          <w:lang w:val="de-DE"/>
        </w:rPr>
        <w:t>stellt</w:t>
      </w:r>
      <w:r w:rsidRPr="008A1A51">
        <w:rPr>
          <w:lang w:val="de-DE"/>
        </w:rPr>
        <w:t xml:space="preserve">, während </w:t>
      </w:r>
      <w:r w:rsidR="00D50E44" w:rsidRPr="008A1A51">
        <w:rPr>
          <w:b/>
          <w:bCs/>
          <w:lang w:val="de-DE"/>
        </w:rPr>
        <w:t>psychosoziale, menschenrechtliche</w:t>
      </w:r>
      <w:r w:rsidRPr="008A1A51">
        <w:rPr>
          <w:b/>
          <w:bCs/>
          <w:lang w:val="de-DE"/>
        </w:rPr>
        <w:t xml:space="preserve"> und Erfahrungsexpertise </w:t>
      </w:r>
      <w:r w:rsidR="007A483E" w:rsidRPr="008A1A51">
        <w:rPr>
          <w:b/>
          <w:bCs/>
          <w:lang w:val="de-DE"/>
        </w:rPr>
        <w:t xml:space="preserve">und -unterstützung </w:t>
      </w:r>
      <w:r w:rsidRPr="008A1A51">
        <w:rPr>
          <w:b/>
          <w:bCs/>
          <w:lang w:val="de-DE"/>
        </w:rPr>
        <w:t xml:space="preserve">wie gehabt ausgegrenzt </w:t>
      </w:r>
      <w:r w:rsidRPr="008A1A51">
        <w:rPr>
          <w:lang w:val="de-DE"/>
        </w:rPr>
        <w:t>werden</w:t>
      </w:r>
      <w:r w:rsidR="00C7015B" w:rsidRPr="008A1A51">
        <w:rPr>
          <w:lang w:val="de-DE"/>
        </w:rPr>
        <w:t xml:space="preserve"> (S. </w:t>
      </w:r>
      <w:r w:rsidR="00A321B1">
        <w:rPr>
          <w:lang w:val="de-DE"/>
        </w:rPr>
        <w:t>8</w:t>
      </w:r>
      <w:r w:rsidR="00C7015B" w:rsidRPr="008A1A51">
        <w:rPr>
          <w:lang w:val="de-DE"/>
        </w:rPr>
        <w:t>)</w:t>
      </w:r>
    </w:p>
    <w:p w14:paraId="5CB62669" w14:textId="62C18C00" w:rsidR="001E7A94" w:rsidRPr="008A1A51" w:rsidRDefault="001E7A94" w:rsidP="001E7A94">
      <w:pPr>
        <w:pStyle w:val="absatzschattenbericht"/>
        <w:rPr>
          <w:b/>
          <w:bCs/>
          <w:lang w:val="de-DE"/>
        </w:rPr>
      </w:pPr>
      <w:r w:rsidRPr="008A1A51">
        <w:rPr>
          <w:b/>
          <w:bCs/>
          <w:lang w:val="de-DE"/>
        </w:rPr>
        <w:lastRenderedPageBreak/>
        <w:t xml:space="preserve">Unsere Kritikpunkte </w:t>
      </w:r>
      <w:r w:rsidR="006415C6" w:rsidRPr="008A1A51">
        <w:rPr>
          <w:b/>
          <w:bCs/>
          <w:lang w:val="de-DE"/>
        </w:rPr>
        <w:t>am</w:t>
      </w:r>
      <w:r w:rsidR="0008390C" w:rsidRPr="008A1A51">
        <w:rPr>
          <w:b/>
          <w:bCs/>
          <w:lang w:val="de-DE"/>
        </w:rPr>
        <w:t xml:space="preserve"> Referentenentwurf (</w:t>
      </w:r>
      <w:proofErr w:type="spellStart"/>
      <w:r w:rsidR="0008390C" w:rsidRPr="008A1A51">
        <w:rPr>
          <w:b/>
          <w:bCs/>
          <w:lang w:val="de-DE"/>
        </w:rPr>
        <w:t>RefE</w:t>
      </w:r>
      <w:proofErr w:type="spellEnd"/>
      <w:r w:rsidR="0008390C" w:rsidRPr="008A1A51">
        <w:rPr>
          <w:b/>
          <w:bCs/>
          <w:lang w:val="de-DE"/>
        </w:rPr>
        <w:t xml:space="preserve">) </w:t>
      </w:r>
      <w:r w:rsidRPr="008A1A51">
        <w:rPr>
          <w:b/>
          <w:bCs/>
          <w:lang w:val="de-DE"/>
        </w:rPr>
        <w:t>im Einzelnen:</w:t>
      </w:r>
    </w:p>
    <w:p w14:paraId="33029B51" w14:textId="77777777" w:rsidR="006C727E" w:rsidRPr="006C727E" w:rsidRDefault="006C727E" w:rsidP="006C727E">
      <w:pPr>
        <w:pStyle w:val="absatzschattenbericht"/>
        <w:rPr>
          <w:sz w:val="12"/>
          <w:szCs w:val="12"/>
          <w:lang w:val="de-DE"/>
        </w:rPr>
      </w:pPr>
    </w:p>
    <w:p w14:paraId="7B3926E5" w14:textId="47BDB943" w:rsidR="007A483E" w:rsidRPr="008A1A51" w:rsidRDefault="006575D4" w:rsidP="008200CA">
      <w:pPr>
        <w:pStyle w:val="Title2"/>
        <w:rPr>
          <w:lang w:val="de-DE"/>
        </w:rPr>
      </w:pPr>
      <w:r w:rsidRPr="008A1A51">
        <w:rPr>
          <w:lang w:val="de-DE"/>
        </w:rPr>
        <w:t>1.</w:t>
      </w:r>
      <w:r w:rsidR="00A007F8" w:rsidRPr="008A1A51">
        <w:rPr>
          <w:lang w:val="de-DE"/>
        </w:rPr>
        <w:t xml:space="preserve">  </w:t>
      </w:r>
      <w:r w:rsidR="007C291A" w:rsidRPr="008A1A51">
        <w:rPr>
          <w:lang w:val="de-DE"/>
        </w:rPr>
        <w:t>Nur teilweise</w:t>
      </w:r>
      <w:r w:rsidR="006707CC" w:rsidRPr="008A1A51">
        <w:rPr>
          <w:lang w:val="de-DE"/>
        </w:rPr>
        <w:t>r</w:t>
      </w:r>
      <w:r w:rsidR="007C291A" w:rsidRPr="008A1A51">
        <w:rPr>
          <w:lang w:val="de-DE"/>
        </w:rPr>
        <w:t xml:space="preserve"> und eingeschränkter Schutz vor IGM-Praktiken, </w:t>
      </w:r>
      <w:r w:rsidR="007C291A" w:rsidRPr="008A1A51">
        <w:rPr>
          <w:lang w:val="de-DE"/>
        </w:rPr>
        <w:br/>
        <w:t xml:space="preserve">     Legalisierung u.a. der häufigsten Praktiken</w:t>
      </w:r>
    </w:p>
    <w:p w14:paraId="2AAF7055" w14:textId="34BCE82F" w:rsidR="003C7B75" w:rsidRPr="008A1A51" w:rsidRDefault="00F931BB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Der </w:t>
      </w:r>
      <w:proofErr w:type="spellStart"/>
      <w:r w:rsidRPr="008A1A51">
        <w:rPr>
          <w:lang w:val="de-DE"/>
        </w:rPr>
        <w:t>RefE</w:t>
      </w:r>
      <w:proofErr w:type="spellEnd"/>
      <w:r w:rsidRPr="008A1A51">
        <w:rPr>
          <w:lang w:val="de-DE"/>
        </w:rPr>
        <w:t xml:space="preserve"> verweist korrekt auf die </w:t>
      </w:r>
      <w:r w:rsidRPr="008A1A51">
        <w:rPr>
          <w:b/>
          <w:bCs/>
          <w:lang w:val="de-DE"/>
        </w:rPr>
        <w:t>bald 25-jährige Kritik</w:t>
      </w:r>
      <w:r w:rsidRPr="008A1A51">
        <w:rPr>
          <w:lang w:val="de-DE"/>
        </w:rPr>
        <w:t xml:space="preserve"> </w:t>
      </w:r>
      <w:r w:rsidR="00DD5765" w:rsidRPr="008A1A51">
        <w:rPr>
          <w:lang w:val="de-DE"/>
        </w:rPr>
        <w:t>an Intersex-Genitalverstümmelungen durch</w:t>
      </w:r>
      <w:r w:rsidRPr="008A1A51">
        <w:rPr>
          <w:lang w:val="de-DE"/>
        </w:rPr>
        <w:t xml:space="preserve"> Betroffenenorganisationen </w:t>
      </w:r>
      <w:r w:rsidR="00DD5765" w:rsidRPr="008A1A51">
        <w:rPr>
          <w:lang w:val="de-DE"/>
        </w:rPr>
        <w:t>in Deutschland</w:t>
      </w:r>
      <w:r w:rsidR="000C0F56" w:rsidRPr="008A1A51">
        <w:rPr>
          <w:lang w:val="de-DE"/>
        </w:rPr>
        <w:t xml:space="preserve"> als </w:t>
      </w:r>
      <w:r w:rsidR="00587466" w:rsidRPr="008A1A51">
        <w:rPr>
          <w:b/>
          <w:bCs/>
          <w:lang w:val="de-DE"/>
        </w:rPr>
        <w:t xml:space="preserve">massive </w:t>
      </w:r>
      <w:r w:rsidR="000C0F56" w:rsidRPr="008A1A51">
        <w:rPr>
          <w:b/>
          <w:bCs/>
          <w:lang w:val="de-DE"/>
        </w:rPr>
        <w:t>Menschenrechtsverletzung</w:t>
      </w:r>
      <w:r w:rsidR="00DD5765" w:rsidRPr="008A1A51">
        <w:rPr>
          <w:lang w:val="de-DE"/>
        </w:rPr>
        <w:t>, beginnend mit der AGGPG im Jahre 1996 (S.</w:t>
      </w:r>
      <w:r w:rsidR="00BA2BF5" w:rsidRPr="008A1A51">
        <w:rPr>
          <w:lang w:val="de-DE"/>
        </w:rPr>
        <w:t> </w:t>
      </w:r>
      <w:r w:rsidR="00DD5765" w:rsidRPr="008A1A51">
        <w:rPr>
          <w:lang w:val="de-DE"/>
        </w:rPr>
        <w:t>5</w:t>
      </w:r>
      <w:r w:rsidR="00BA2BF5" w:rsidRPr="008A1A51">
        <w:rPr>
          <w:lang w:val="de-DE"/>
        </w:rPr>
        <w:t>–</w:t>
      </w:r>
      <w:r w:rsidR="00DD5765" w:rsidRPr="008A1A51">
        <w:rPr>
          <w:lang w:val="de-DE"/>
        </w:rPr>
        <w:t>6)</w:t>
      </w:r>
      <w:r w:rsidR="00BA2BF5" w:rsidRPr="008A1A51">
        <w:rPr>
          <w:lang w:val="de-DE"/>
        </w:rPr>
        <w:t xml:space="preserve">, </w:t>
      </w:r>
      <w:r w:rsidR="004E671B" w:rsidRPr="008A1A51">
        <w:rPr>
          <w:lang w:val="de-DE"/>
        </w:rPr>
        <w:t xml:space="preserve">unterschlägt jedoch, dass schon die AGGPG </w:t>
      </w:r>
      <w:r w:rsidR="004E671B" w:rsidRPr="008A1A51">
        <w:rPr>
          <w:b/>
          <w:bCs/>
          <w:lang w:val="de-DE"/>
        </w:rPr>
        <w:t xml:space="preserve">das gesamte Spektrum </w:t>
      </w:r>
      <w:proofErr w:type="spellStart"/>
      <w:r w:rsidR="004E671B" w:rsidRPr="008A1A51">
        <w:rPr>
          <w:b/>
          <w:bCs/>
          <w:lang w:val="de-DE"/>
        </w:rPr>
        <w:t>uneingewilligter</w:t>
      </w:r>
      <w:proofErr w:type="spellEnd"/>
      <w:r w:rsidR="004E671B" w:rsidRPr="008A1A51">
        <w:rPr>
          <w:b/>
          <w:bCs/>
          <w:lang w:val="de-DE"/>
        </w:rPr>
        <w:t>, unnötiger und schädlicher Praktiken</w:t>
      </w:r>
      <w:r w:rsidR="004E671B" w:rsidRPr="008A1A51">
        <w:rPr>
          <w:lang w:val="de-DE"/>
        </w:rPr>
        <w:t xml:space="preserve"> an Intersex-Kindern kritisierte, inkl. “</w:t>
      </w:r>
      <w:r w:rsidR="006A2FBA" w:rsidRPr="008A1A51">
        <w:rPr>
          <w:lang w:val="de-DE"/>
        </w:rPr>
        <w:t>genitale Korrektur[en]</w:t>
      </w:r>
      <w:r w:rsidR="004E671B" w:rsidRPr="008A1A51">
        <w:rPr>
          <w:lang w:val="de-DE"/>
        </w:rPr>
        <w:t>”</w:t>
      </w:r>
      <w:r w:rsidR="006A2FBA" w:rsidRPr="008A1A51">
        <w:rPr>
          <w:lang w:val="de-DE"/>
        </w:rPr>
        <w:t xml:space="preserve"> an Menschen mit “Hypospadie”</w:t>
      </w:r>
      <w:r w:rsidR="002275A4" w:rsidRPr="008A1A51">
        <w:rPr>
          <w:lang w:val="de-DE"/>
        </w:rPr>
        <w:t>.</w:t>
      </w:r>
      <w:r w:rsidR="00605FC6" w:rsidRPr="008A1A51">
        <w:rPr>
          <w:rStyle w:val="Funotenzeichen"/>
          <w:lang w:val="de-DE"/>
        </w:rPr>
        <w:footnoteReference w:id="1"/>
      </w:r>
      <w:r w:rsidR="00605FC6" w:rsidRPr="008A1A51">
        <w:rPr>
          <w:lang w:val="de-DE"/>
        </w:rPr>
        <w:t xml:space="preserve"> </w:t>
      </w:r>
    </w:p>
    <w:p w14:paraId="4A312F08" w14:textId="3872140D" w:rsidR="007A483E" w:rsidRPr="008A1A51" w:rsidRDefault="003C7B75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Auch die im </w:t>
      </w:r>
      <w:proofErr w:type="spellStart"/>
      <w:r w:rsidRPr="008A1A51">
        <w:rPr>
          <w:lang w:val="de-DE"/>
        </w:rPr>
        <w:t>RefE</w:t>
      </w:r>
      <w:proofErr w:type="spellEnd"/>
      <w:r w:rsidRPr="008A1A51">
        <w:rPr>
          <w:lang w:val="de-DE"/>
        </w:rPr>
        <w:t xml:space="preserve"> </w:t>
      </w:r>
      <w:r w:rsidR="003D55CB" w:rsidRPr="008A1A51">
        <w:rPr>
          <w:lang w:val="de-DE"/>
        </w:rPr>
        <w:t xml:space="preserve">(S. 7, 18) </w:t>
      </w:r>
      <w:r w:rsidRPr="008A1A51">
        <w:rPr>
          <w:lang w:val="de-DE"/>
        </w:rPr>
        <w:t xml:space="preserve">angeführte </w:t>
      </w:r>
      <w:r w:rsidRPr="008A1A51">
        <w:rPr>
          <w:b/>
          <w:bCs/>
          <w:lang w:val="de-DE"/>
        </w:rPr>
        <w:t>Studie</w:t>
      </w:r>
      <w:r w:rsidRPr="008A1A51">
        <w:rPr>
          <w:lang w:val="de-DE"/>
        </w:rPr>
        <w:t xml:space="preserve"> “Zur </w:t>
      </w:r>
      <w:proofErr w:type="spellStart"/>
      <w:r w:rsidRPr="008A1A51">
        <w:rPr>
          <w:lang w:val="de-DE"/>
        </w:rPr>
        <w:t>Aktualität</w:t>
      </w:r>
      <w:proofErr w:type="spellEnd"/>
      <w:r w:rsidRPr="008A1A51">
        <w:rPr>
          <w:lang w:val="de-DE"/>
        </w:rPr>
        <w:t xml:space="preserve"> kosmetischer Operationen “</w:t>
      </w:r>
      <w:proofErr w:type="spellStart"/>
      <w:r w:rsidRPr="008A1A51">
        <w:rPr>
          <w:lang w:val="de-DE"/>
        </w:rPr>
        <w:t>uneindeutiger</w:t>
      </w:r>
      <w:proofErr w:type="spellEnd"/>
      <w:r w:rsidRPr="008A1A51">
        <w:rPr>
          <w:lang w:val="de-DE"/>
        </w:rPr>
        <w:t xml:space="preserve">” Genitalien im Kindesalter” (2016) sowie die </w:t>
      </w:r>
      <w:r w:rsidRPr="008A1A51">
        <w:rPr>
          <w:b/>
          <w:bCs/>
          <w:lang w:val="de-DE"/>
        </w:rPr>
        <w:t>“Follow-</w:t>
      </w:r>
      <w:proofErr w:type="spellStart"/>
      <w:r w:rsidRPr="008A1A51">
        <w:rPr>
          <w:b/>
          <w:bCs/>
          <w:lang w:val="de-DE"/>
        </w:rPr>
        <w:t>Up</w:t>
      </w:r>
      <w:proofErr w:type="spellEnd"/>
      <w:r w:rsidRPr="008A1A51">
        <w:rPr>
          <w:b/>
          <w:bCs/>
          <w:lang w:val="de-DE"/>
        </w:rPr>
        <w:t>-Studie”</w:t>
      </w:r>
      <w:r w:rsidRPr="008A1A51">
        <w:rPr>
          <w:lang w:val="de-DE"/>
        </w:rPr>
        <w:t xml:space="preserve"> (2019)</w:t>
      </w:r>
      <w:r w:rsidR="003D55CB" w:rsidRPr="008A1A51">
        <w:rPr>
          <w:lang w:val="de-DE"/>
        </w:rPr>
        <w:t xml:space="preserve"> listen ebenfalls Feminisierungs- und Maskulinisierungsoperationen, die Studie 2016 ebenfalls sterilisierende Eingriffe.</w:t>
      </w:r>
    </w:p>
    <w:p w14:paraId="7177C550" w14:textId="64E01B80" w:rsidR="006707CC" w:rsidRPr="008A1A51" w:rsidRDefault="006707CC" w:rsidP="006707CC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Von </w:t>
      </w:r>
      <w:r w:rsidRPr="008A1A51">
        <w:rPr>
          <w:b/>
          <w:bCs/>
          <w:lang w:val="de-DE"/>
        </w:rPr>
        <w:t xml:space="preserve">Intersex-NGOs </w:t>
      </w:r>
      <w:r w:rsidR="00AA4D00" w:rsidRPr="008A1A51">
        <w:rPr>
          <w:b/>
          <w:bCs/>
          <w:lang w:val="de-DE"/>
        </w:rPr>
        <w:t>und UN-Vertragsorganen</w:t>
      </w:r>
      <w:r w:rsidR="00AA4D00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als menschenrechtswidrig kritisierte, </w:t>
      </w:r>
      <w:proofErr w:type="spellStart"/>
      <w:r w:rsidRPr="008A1A51">
        <w:rPr>
          <w:lang w:val="de-DE"/>
        </w:rPr>
        <w:t>uneingewilligte</w:t>
      </w:r>
      <w:proofErr w:type="spellEnd"/>
      <w:r w:rsidRPr="008A1A51">
        <w:rPr>
          <w:lang w:val="de-DE"/>
        </w:rPr>
        <w:t>, unnötige und schädliche Operationen und sonstige Behandlungen umfassen insbesondere:</w:t>
      </w:r>
      <w:r w:rsidR="00D30986" w:rsidRPr="008A1A51">
        <w:rPr>
          <w:rStyle w:val="Funotenzeichen"/>
          <w:lang w:val="de-DE"/>
        </w:rPr>
        <w:footnoteReference w:id="2"/>
      </w:r>
    </w:p>
    <w:p w14:paraId="00B66AB9" w14:textId="6C662BAF" w:rsidR="006707CC" w:rsidRPr="008A1A51" w:rsidRDefault="006707CC" w:rsidP="006707CC">
      <w:pPr>
        <w:pStyle w:val="absatzschattenbericht"/>
        <w:numPr>
          <w:ilvl w:val="0"/>
          <w:numId w:val="18"/>
        </w:numPr>
        <w:rPr>
          <w:lang w:val="de-DE"/>
        </w:rPr>
      </w:pPr>
      <w:r w:rsidRPr="008A1A51">
        <w:rPr>
          <w:b/>
          <w:bCs/>
          <w:lang w:val="de-DE"/>
        </w:rPr>
        <w:t>IGM</w:t>
      </w:r>
      <w:r w:rsidR="00A23E6A" w:rsidRPr="008A1A51">
        <w:rPr>
          <w:b/>
          <w:bCs/>
          <w:lang w:val="de-DE"/>
        </w:rPr>
        <w:t> </w:t>
      </w:r>
      <w:r w:rsidRPr="008A1A51">
        <w:rPr>
          <w:b/>
          <w:bCs/>
          <w:lang w:val="de-DE"/>
        </w:rPr>
        <w:t>1 “Vermännlichende Genitalkorrekturen”</w:t>
      </w:r>
      <w:r w:rsidR="00234AA9" w:rsidRPr="008A1A51">
        <w:rPr>
          <w:b/>
          <w:bCs/>
          <w:lang w:val="de-DE"/>
        </w:rPr>
        <w:t xml:space="preserve">: </w:t>
      </w:r>
      <w:r w:rsidR="00234AA9" w:rsidRPr="008A1A51">
        <w:rPr>
          <w:lang w:val="de-DE"/>
        </w:rPr>
        <w:t>“</w:t>
      </w:r>
      <w:proofErr w:type="spellStart"/>
      <w:r w:rsidR="00234AA9" w:rsidRPr="008A1A51">
        <w:rPr>
          <w:lang w:val="de-DE"/>
        </w:rPr>
        <w:t>Hypospadiekorrekturen</w:t>
      </w:r>
      <w:proofErr w:type="spellEnd"/>
      <w:r w:rsidR="00234AA9" w:rsidRPr="008A1A51">
        <w:rPr>
          <w:lang w:val="de-DE"/>
        </w:rPr>
        <w:t>”</w:t>
      </w:r>
    </w:p>
    <w:p w14:paraId="2F811638" w14:textId="6536D152" w:rsidR="006707CC" w:rsidRPr="008A1A51" w:rsidRDefault="006707CC" w:rsidP="006707CC">
      <w:pPr>
        <w:pStyle w:val="absatzschattenbericht"/>
        <w:numPr>
          <w:ilvl w:val="0"/>
          <w:numId w:val="18"/>
        </w:numPr>
        <w:rPr>
          <w:lang w:val="de-DE"/>
        </w:rPr>
      </w:pPr>
      <w:r w:rsidRPr="008A1A51">
        <w:rPr>
          <w:b/>
          <w:bCs/>
          <w:lang w:val="de-DE"/>
        </w:rPr>
        <w:t>IGM</w:t>
      </w:r>
      <w:r w:rsidR="00A23E6A" w:rsidRPr="008A1A51">
        <w:rPr>
          <w:b/>
          <w:bCs/>
          <w:lang w:val="de-DE"/>
        </w:rPr>
        <w:t> </w:t>
      </w:r>
      <w:r w:rsidRPr="008A1A51">
        <w:rPr>
          <w:b/>
          <w:bCs/>
          <w:lang w:val="de-DE"/>
        </w:rPr>
        <w:t>2 “Verweiblichende Genitalkorrekturen”</w:t>
      </w:r>
      <w:r w:rsidR="00234AA9" w:rsidRPr="008A1A51">
        <w:rPr>
          <w:b/>
          <w:bCs/>
          <w:lang w:val="de-DE"/>
        </w:rPr>
        <w:t>:</w:t>
      </w:r>
      <w:r w:rsidR="00234AA9" w:rsidRPr="008A1A51">
        <w:rPr>
          <w:lang w:val="de-DE"/>
        </w:rPr>
        <w:t xml:space="preserve"> </w:t>
      </w:r>
      <w:proofErr w:type="spellStart"/>
      <w:r w:rsidR="00695518" w:rsidRPr="008A1A51">
        <w:rPr>
          <w:lang w:val="de-DE"/>
        </w:rPr>
        <w:t>Klitoristeilamputation</w:t>
      </w:r>
      <w:proofErr w:type="spellEnd"/>
      <w:r w:rsidR="00695518" w:rsidRPr="008A1A51">
        <w:rPr>
          <w:lang w:val="de-DE"/>
        </w:rPr>
        <w:t>/</w:t>
      </w:r>
      <w:r w:rsidR="00234AA9" w:rsidRPr="008A1A51">
        <w:rPr>
          <w:lang w:val="de-DE"/>
        </w:rPr>
        <w:t>“</w:t>
      </w:r>
      <w:r w:rsidR="00695518" w:rsidRPr="008A1A51">
        <w:rPr>
          <w:lang w:val="de-DE"/>
        </w:rPr>
        <w:t>-</w:t>
      </w:r>
      <w:r w:rsidR="00234AA9" w:rsidRPr="008A1A51">
        <w:rPr>
          <w:lang w:val="de-DE"/>
        </w:rPr>
        <w:t>reduktion”, “Vaginalplastik”</w:t>
      </w:r>
      <w:r w:rsidR="00E024CF" w:rsidRPr="008A1A51">
        <w:rPr>
          <w:lang w:val="de-DE"/>
        </w:rPr>
        <w:t>, Anlegen</w:t>
      </w:r>
      <w:r w:rsidR="00695518" w:rsidRPr="008A1A51">
        <w:rPr>
          <w:lang w:val="de-DE"/>
        </w:rPr>
        <w:t xml:space="preserve"> </w:t>
      </w:r>
      <w:r w:rsidR="00E024CF" w:rsidRPr="008A1A51">
        <w:rPr>
          <w:lang w:val="de-DE"/>
        </w:rPr>
        <w:t>“Neovagina”, vaginale Dehnungen</w:t>
      </w:r>
    </w:p>
    <w:p w14:paraId="4052BF08" w14:textId="104545D7" w:rsidR="006707CC" w:rsidRPr="008A1A51" w:rsidRDefault="006707CC" w:rsidP="006707CC">
      <w:pPr>
        <w:pStyle w:val="absatzschattenbericht"/>
        <w:numPr>
          <w:ilvl w:val="0"/>
          <w:numId w:val="18"/>
        </w:numPr>
        <w:rPr>
          <w:lang w:val="de-DE"/>
        </w:rPr>
      </w:pPr>
      <w:r w:rsidRPr="008A1A51">
        <w:rPr>
          <w:b/>
          <w:bCs/>
          <w:lang w:val="de-DE"/>
        </w:rPr>
        <w:t>IGM</w:t>
      </w:r>
      <w:r w:rsidR="00A23E6A" w:rsidRPr="008A1A51">
        <w:rPr>
          <w:b/>
          <w:bCs/>
          <w:lang w:val="de-DE"/>
        </w:rPr>
        <w:t> </w:t>
      </w:r>
      <w:r w:rsidRPr="008A1A51">
        <w:rPr>
          <w:b/>
          <w:bCs/>
          <w:lang w:val="de-DE"/>
        </w:rPr>
        <w:t>3 Sterilisierende Prozeduren</w:t>
      </w:r>
      <w:r w:rsidR="00234AA9" w:rsidRPr="008A1A51">
        <w:rPr>
          <w:b/>
          <w:bCs/>
          <w:lang w:val="de-DE"/>
        </w:rPr>
        <w:t>:</w:t>
      </w:r>
      <w:r w:rsidR="00234AA9" w:rsidRPr="008A1A51">
        <w:rPr>
          <w:lang w:val="de-DE"/>
        </w:rPr>
        <w:t xml:space="preserve"> </w:t>
      </w:r>
      <w:r w:rsidR="00E024CF" w:rsidRPr="008A1A51">
        <w:rPr>
          <w:lang w:val="de-DE"/>
        </w:rPr>
        <w:t>Kastration, “</w:t>
      </w:r>
      <w:proofErr w:type="spellStart"/>
      <w:r w:rsidR="00E024CF" w:rsidRPr="008A1A51">
        <w:rPr>
          <w:lang w:val="de-DE"/>
        </w:rPr>
        <w:t>Gonadektomien</w:t>
      </w:r>
      <w:proofErr w:type="spellEnd"/>
      <w:r w:rsidR="00E024CF" w:rsidRPr="008A1A51">
        <w:rPr>
          <w:lang w:val="de-DE"/>
        </w:rPr>
        <w:t>”, Hysterektomie, Entfernung “diskordanter” Fortpflanzungsorgane und -strukturen</w:t>
      </w:r>
    </w:p>
    <w:p w14:paraId="3C29E6F9" w14:textId="0D540A28" w:rsidR="006707CC" w:rsidRPr="008A1A51" w:rsidRDefault="006707CC" w:rsidP="006707CC">
      <w:pPr>
        <w:pStyle w:val="absatzschattenbericht"/>
        <w:numPr>
          <w:ilvl w:val="0"/>
          <w:numId w:val="18"/>
        </w:numPr>
        <w:rPr>
          <w:lang w:val="de-DE"/>
        </w:rPr>
      </w:pPr>
      <w:r w:rsidRPr="008A1A51">
        <w:rPr>
          <w:b/>
          <w:bCs/>
          <w:lang w:val="de-DE"/>
        </w:rPr>
        <w:t>IGM</w:t>
      </w:r>
      <w:r w:rsidR="00A23E6A" w:rsidRPr="008A1A51">
        <w:rPr>
          <w:b/>
          <w:bCs/>
          <w:lang w:val="de-DE"/>
        </w:rPr>
        <w:t> </w:t>
      </w:r>
      <w:r w:rsidRPr="008A1A51">
        <w:rPr>
          <w:b/>
          <w:bCs/>
          <w:lang w:val="de-DE"/>
        </w:rPr>
        <w:t>4 Weitere unnötige Prozeduren</w:t>
      </w:r>
      <w:r w:rsidR="00234AA9" w:rsidRPr="008A1A51">
        <w:rPr>
          <w:b/>
          <w:bCs/>
          <w:lang w:val="de-DE"/>
        </w:rPr>
        <w:t>:</w:t>
      </w:r>
      <w:r w:rsidR="00234AA9" w:rsidRPr="008A1A51">
        <w:rPr>
          <w:lang w:val="de-DE"/>
        </w:rPr>
        <w:t xml:space="preserve"> </w:t>
      </w:r>
      <w:r w:rsidR="00094104" w:rsidRPr="008A1A51">
        <w:rPr>
          <w:lang w:val="de-DE"/>
        </w:rPr>
        <w:t xml:space="preserve">u.a. Pränatal-“Therapie”, zwangsweise Verabreichung von Hormonen, unnötige Genitaluntersuchungen und -fotografie, medizinische Zurschaustellung, </w:t>
      </w:r>
      <w:proofErr w:type="spellStart"/>
      <w:r w:rsidR="00094104" w:rsidRPr="008A1A51">
        <w:rPr>
          <w:lang w:val="de-DE"/>
        </w:rPr>
        <w:t>uneingewilligte</w:t>
      </w:r>
      <w:proofErr w:type="spellEnd"/>
      <w:r w:rsidR="00094104" w:rsidRPr="008A1A51">
        <w:rPr>
          <w:lang w:val="de-DE"/>
        </w:rPr>
        <w:t xml:space="preserve"> medizinische und wissenschaftliche Forschung, selektive Abtreibungen, genetische Deselektion während Präimplantationsdiagnostik (PID)</w:t>
      </w:r>
    </w:p>
    <w:p w14:paraId="7891D462" w14:textId="77777777" w:rsidR="00292FB4" w:rsidRPr="008A1A51" w:rsidRDefault="00292FB4" w:rsidP="00DA7426">
      <w:pPr>
        <w:pStyle w:val="absatzschattenbericht"/>
        <w:rPr>
          <w:lang w:val="de-DE"/>
        </w:rPr>
      </w:pPr>
    </w:p>
    <w:p w14:paraId="0F5D416A" w14:textId="73024679" w:rsidR="00292FB4" w:rsidRPr="008A1A51" w:rsidRDefault="00DA7426" w:rsidP="000A4E09">
      <w:pPr>
        <w:pStyle w:val="absatzschattenbericht"/>
        <w:rPr>
          <w:lang w:val="de-DE"/>
        </w:rPr>
      </w:pPr>
      <w:r w:rsidRPr="008A1A51">
        <w:rPr>
          <w:lang w:val="de-DE"/>
        </w:rPr>
        <w:lastRenderedPageBreak/>
        <w:t xml:space="preserve">Die </w:t>
      </w:r>
      <w:r w:rsidRPr="008A1A51">
        <w:rPr>
          <w:b/>
          <w:bCs/>
          <w:lang w:val="de-DE"/>
        </w:rPr>
        <w:t xml:space="preserve">Beschränkung des </w:t>
      </w:r>
      <w:proofErr w:type="spellStart"/>
      <w:r w:rsidRPr="008A1A51">
        <w:rPr>
          <w:b/>
          <w:bCs/>
          <w:lang w:val="de-DE"/>
        </w:rPr>
        <w:t>RefE</w:t>
      </w:r>
      <w:proofErr w:type="spellEnd"/>
      <w:r w:rsidRPr="008A1A51">
        <w:rPr>
          <w:b/>
          <w:bCs/>
          <w:lang w:val="de-DE"/>
        </w:rPr>
        <w:t xml:space="preserve"> auf wenige chirurgische IGM-Formen</w:t>
      </w:r>
      <w:r w:rsidRPr="008A1A51">
        <w:rPr>
          <w:lang w:val="de-DE"/>
        </w:rPr>
        <w:t xml:space="preserve"> ist menschenrechtlich wie auch sachlich unhaltbar. </w:t>
      </w:r>
      <w:r w:rsidR="000A4E09" w:rsidRPr="008A1A51">
        <w:rPr>
          <w:lang w:val="de-DE"/>
        </w:rPr>
        <w:t xml:space="preserve">Auch der im </w:t>
      </w:r>
      <w:proofErr w:type="spellStart"/>
      <w:r w:rsidR="000A4E09" w:rsidRPr="008A1A51">
        <w:rPr>
          <w:lang w:val="de-DE"/>
        </w:rPr>
        <w:t>RefE</w:t>
      </w:r>
      <w:proofErr w:type="spellEnd"/>
      <w:r w:rsidR="000A4E09" w:rsidRPr="008A1A51">
        <w:rPr>
          <w:lang w:val="de-DE"/>
        </w:rPr>
        <w:t xml:space="preserve"> (S.</w:t>
      </w:r>
      <w:r w:rsidR="002326A1" w:rsidRPr="008A1A51">
        <w:rPr>
          <w:lang w:val="de-DE"/>
        </w:rPr>
        <w:t> </w:t>
      </w:r>
      <w:r w:rsidR="000A4E09" w:rsidRPr="008A1A51">
        <w:rPr>
          <w:lang w:val="de-DE"/>
        </w:rPr>
        <w:t xml:space="preserve">1) erwähnte </w:t>
      </w:r>
      <w:r w:rsidR="000A4E09" w:rsidRPr="008A1A51">
        <w:rPr>
          <w:b/>
          <w:bCs/>
          <w:lang w:val="de-DE"/>
        </w:rPr>
        <w:t>Koalitionsvertrag</w:t>
      </w:r>
      <w:r w:rsidR="000A4E09" w:rsidRPr="008A1A51">
        <w:rPr>
          <w:lang w:val="de-DE"/>
        </w:rPr>
        <w:t xml:space="preserve"> für die 19.</w:t>
      </w:r>
      <w:r w:rsidR="002326A1" w:rsidRPr="008A1A51">
        <w:rPr>
          <w:lang w:val="de-DE"/>
        </w:rPr>
        <w:t> </w:t>
      </w:r>
      <w:r w:rsidR="000A4E09" w:rsidRPr="008A1A51">
        <w:rPr>
          <w:lang w:val="de-DE"/>
        </w:rPr>
        <w:t xml:space="preserve">Legislaturperiode “sieht vor, gesetzlich klarzustellen, ‘dass geschlechtsangleichende medizinische Eingriffe an Kindern </w:t>
      </w:r>
      <w:r w:rsidR="000A4E09" w:rsidRPr="008A1A51">
        <w:rPr>
          <w:b/>
          <w:bCs/>
          <w:lang w:val="de-DE"/>
        </w:rPr>
        <w:t xml:space="preserve">nur in unaufschiebbaren </w:t>
      </w:r>
      <w:proofErr w:type="spellStart"/>
      <w:r w:rsidR="000A4E09" w:rsidRPr="008A1A51">
        <w:rPr>
          <w:b/>
          <w:bCs/>
          <w:lang w:val="de-DE"/>
        </w:rPr>
        <w:t>Fällen</w:t>
      </w:r>
      <w:proofErr w:type="spellEnd"/>
      <w:r w:rsidR="000A4E09" w:rsidRPr="008A1A51">
        <w:rPr>
          <w:b/>
          <w:bCs/>
          <w:lang w:val="de-DE"/>
        </w:rPr>
        <w:t xml:space="preserve"> und zur Abwendung von Lebensgefahr</w:t>
      </w:r>
      <w:r w:rsidR="000A4E09" w:rsidRPr="008A1A51">
        <w:rPr>
          <w:lang w:val="de-DE"/>
        </w:rPr>
        <w:t xml:space="preserve"> </w:t>
      </w:r>
      <w:proofErr w:type="spellStart"/>
      <w:r w:rsidR="000A4E09" w:rsidRPr="008A1A51">
        <w:rPr>
          <w:lang w:val="de-DE"/>
        </w:rPr>
        <w:t>zulässig</w:t>
      </w:r>
      <w:proofErr w:type="spellEnd"/>
      <w:r w:rsidR="000A4E09" w:rsidRPr="008A1A51">
        <w:rPr>
          <w:lang w:val="de-DE"/>
        </w:rPr>
        <w:t xml:space="preserve"> sind’ (S. 21, Zeilen 797 bis 799).”</w:t>
      </w:r>
    </w:p>
    <w:p w14:paraId="38433CF1" w14:textId="07963E38" w:rsidR="008E3136" w:rsidRPr="008A1A51" w:rsidRDefault="008E3136" w:rsidP="00292FB4">
      <w:pPr>
        <w:pStyle w:val="absatzschattenbericht"/>
        <w:rPr>
          <w:lang w:val="de-DE"/>
        </w:rPr>
      </w:pPr>
      <w:r w:rsidRPr="008A1A51">
        <w:rPr>
          <w:lang w:val="de-DE"/>
        </w:rPr>
        <w:t>Wir</w:t>
      </w:r>
      <w:r w:rsidR="00292FB4" w:rsidRPr="008A1A51">
        <w:rPr>
          <w:lang w:val="de-DE"/>
        </w:rPr>
        <w:t xml:space="preserve"> begrüßen, dass der </w:t>
      </w:r>
      <w:proofErr w:type="spellStart"/>
      <w:r w:rsidR="00292FB4" w:rsidRPr="008A1A51">
        <w:rPr>
          <w:lang w:val="de-DE"/>
        </w:rPr>
        <w:t>RefE</w:t>
      </w:r>
      <w:proofErr w:type="spellEnd"/>
      <w:r w:rsidR="00292FB4" w:rsidRPr="008A1A51">
        <w:rPr>
          <w:lang w:val="de-DE"/>
        </w:rPr>
        <w:t xml:space="preserve"> </w:t>
      </w:r>
      <w:proofErr w:type="spellStart"/>
      <w:r w:rsidR="00292FB4" w:rsidRPr="008A1A51">
        <w:rPr>
          <w:b/>
          <w:bCs/>
          <w:lang w:val="de-DE"/>
        </w:rPr>
        <w:t>Klitoristeilamputationen</w:t>
      </w:r>
      <w:proofErr w:type="spellEnd"/>
      <w:r w:rsidR="002326A1" w:rsidRPr="008A1A51">
        <w:rPr>
          <w:b/>
          <w:bCs/>
          <w:lang w:val="de-DE"/>
        </w:rPr>
        <w:t>, “Trennung von Harnröhren- und Scheidenausgang”</w:t>
      </w:r>
      <w:r w:rsidR="00292FB4" w:rsidRPr="008A1A51">
        <w:rPr>
          <w:b/>
          <w:bCs/>
          <w:lang w:val="de-DE"/>
        </w:rPr>
        <w:t xml:space="preserve"> </w:t>
      </w:r>
      <w:r w:rsidR="002326A1" w:rsidRPr="008A1A51">
        <w:rPr>
          <w:b/>
          <w:bCs/>
          <w:lang w:val="de-DE"/>
        </w:rPr>
        <w:t xml:space="preserve">und “Vaginalplastiken” </w:t>
      </w:r>
      <w:r w:rsidR="00292FB4" w:rsidRPr="008A1A51">
        <w:rPr>
          <w:b/>
          <w:bCs/>
          <w:lang w:val="de-DE"/>
        </w:rPr>
        <w:t>bei AGS</w:t>
      </w:r>
      <w:r w:rsidR="00292FB4" w:rsidRPr="008A1A51">
        <w:rPr>
          <w:lang w:val="de-DE"/>
        </w:rPr>
        <w:t xml:space="preserve"> unter Strafe stellen will</w:t>
      </w:r>
      <w:r w:rsidR="00587466" w:rsidRPr="008A1A51">
        <w:rPr>
          <w:lang w:val="de-DE"/>
        </w:rPr>
        <w:t xml:space="preserve"> (S. 25-26)</w:t>
      </w:r>
      <w:r w:rsidRPr="008A1A51">
        <w:rPr>
          <w:lang w:val="de-DE"/>
        </w:rPr>
        <w:t>.</w:t>
      </w:r>
      <w:r w:rsidR="00292FB4" w:rsidRPr="008A1A51">
        <w:rPr>
          <w:lang w:val="de-DE"/>
        </w:rPr>
        <w:t xml:space="preserve"> </w:t>
      </w:r>
    </w:p>
    <w:p w14:paraId="07AD0DDF" w14:textId="3C5BB7CB" w:rsidR="00DA7426" w:rsidRPr="008A1A51" w:rsidRDefault="008E3136" w:rsidP="008B776B">
      <w:pPr>
        <w:pStyle w:val="absatzschattenbericht"/>
        <w:rPr>
          <w:lang w:val="de-DE"/>
        </w:rPr>
      </w:pPr>
      <w:r w:rsidRPr="008A1A51">
        <w:rPr>
          <w:lang w:val="de-DE"/>
        </w:rPr>
        <w:t>Jedoch</w:t>
      </w:r>
      <w:r w:rsidR="00292FB4" w:rsidRPr="008A1A51">
        <w:rPr>
          <w:lang w:val="de-DE"/>
        </w:rPr>
        <w:t xml:space="preserve"> i</w:t>
      </w:r>
      <w:r w:rsidR="00DA7426" w:rsidRPr="008A1A51">
        <w:rPr>
          <w:lang w:val="de-DE"/>
        </w:rPr>
        <w:t>nsbesondere</w:t>
      </w:r>
      <w:r w:rsidR="00292FB4" w:rsidRPr="008A1A51">
        <w:rPr>
          <w:lang w:val="de-DE"/>
        </w:rPr>
        <w:t xml:space="preserve">, </w:t>
      </w:r>
      <w:r w:rsidR="00DA7426" w:rsidRPr="008A1A51">
        <w:rPr>
          <w:lang w:val="de-DE"/>
        </w:rPr>
        <w:t xml:space="preserve">dass </w:t>
      </w:r>
      <w:r w:rsidR="00292FB4" w:rsidRPr="008A1A51">
        <w:rPr>
          <w:lang w:val="de-DE"/>
        </w:rPr>
        <w:t xml:space="preserve">– </w:t>
      </w:r>
      <w:r w:rsidR="00145F00" w:rsidRPr="008A1A51">
        <w:rPr>
          <w:lang w:val="de-DE"/>
        </w:rPr>
        <w:t xml:space="preserve">entgegen der Forderungen von Betroffenen wie auch </w:t>
      </w:r>
      <w:proofErr w:type="spellStart"/>
      <w:r w:rsidR="00145F00" w:rsidRPr="008A1A51">
        <w:rPr>
          <w:lang w:val="de-DE"/>
        </w:rPr>
        <w:t>ExpertInnen</w:t>
      </w:r>
      <w:proofErr w:type="spellEnd"/>
      <w:r w:rsidR="00145F00" w:rsidRPr="008A1A51">
        <w:rPr>
          <w:rStyle w:val="Funotenzeichen"/>
          <w:lang w:val="de-DE"/>
        </w:rPr>
        <w:footnoteReference w:id="3"/>
      </w:r>
      <w:r w:rsidR="00145F00" w:rsidRPr="008A1A51">
        <w:rPr>
          <w:lang w:val="de-DE"/>
        </w:rPr>
        <w:t xml:space="preserve"> </w:t>
      </w:r>
      <w:r w:rsidR="00292FB4" w:rsidRPr="008A1A51">
        <w:rPr>
          <w:lang w:val="de-DE"/>
        </w:rPr>
        <w:t xml:space="preserve">– </w:t>
      </w:r>
      <w:r w:rsidR="00EE4D92" w:rsidRPr="008A1A51">
        <w:rPr>
          <w:b/>
          <w:bCs/>
          <w:lang w:val="de-DE"/>
        </w:rPr>
        <w:t>IGM 1 “</w:t>
      </w:r>
      <w:proofErr w:type="spellStart"/>
      <w:r w:rsidR="00EE4D92" w:rsidRPr="008A1A51">
        <w:rPr>
          <w:b/>
          <w:bCs/>
          <w:lang w:val="de-DE"/>
        </w:rPr>
        <w:t>Hypospadiekorrekturen</w:t>
      </w:r>
      <w:proofErr w:type="spellEnd"/>
      <w:r w:rsidR="00EE4D92" w:rsidRPr="008A1A51">
        <w:rPr>
          <w:b/>
          <w:bCs/>
          <w:lang w:val="de-DE"/>
        </w:rPr>
        <w:t xml:space="preserve">” </w:t>
      </w:r>
      <w:r w:rsidR="000A40B6" w:rsidRPr="008A1A51">
        <w:rPr>
          <w:lang w:val="de-DE"/>
        </w:rPr>
        <w:t xml:space="preserve">(S. 25) </w:t>
      </w:r>
      <w:r w:rsidR="00EE4D92" w:rsidRPr="008A1A51">
        <w:rPr>
          <w:lang w:val="de-DE"/>
        </w:rPr>
        <w:t xml:space="preserve">als häufigste Form </w:t>
      </w:r>
      <w:r w:rsidRPr="008A1A51">
        <w:rPr>
          <w:lang w:val="de-DE"/>
        </w:rPr>
        <w:t>wie auch</w:t>
      </w:r>
      <w:r w:rsidR="000A40B6" w:rsidRPr="008A1A51">
        <w:rPr>
          <w:lang w:val="de-DE"/>
        </w:rPr>
        <w:t xml:space="preserve"> sonstige </w:t>
      </w:r>
      <w:r w:rsidR="000A40B6" w:rsidRPr="008A1A51">
        <w:rPr>
          <w:b/>
          <w:bCs/>
          <w:lang w:val="de-DE"/>
        </w:rPr>
        <w:t>chirurgische Eingriffe “etwa an einem nur fehlgebildeten Genital”</w:t>
      </w:r>
      <w:r w:rsidR="000A40B6" w:rsidRPr="008A1A51">
        <w:rPr>
          <w:lang w:val="de-DE"/>
        </w:rPr>
        <w:t xml:space="preserve"> (S. </w:t>
      </w:r>
      <w:r w:rsidRPr="008A1A51">
        <w:rPr>
          <w:lang w:val="de-DE"/>
        </w:rPr>
        <w:t>24</w:t>
      </w:r>
      <w:r w:rsidR="000A40B6" w:rsidRPr="008A1A51">
        <w:rPr>
          <w:lang w:val="de-DE"/>
        </w:rPr>
        <w:t>)</w:t>
      </w:r>
      <w:r w:rsidR="00820698" w:rsidRPr="008A1A51">
        <w:rPr>
          <w:lang w:val="de-DE"/>
        </w:rPr>
        <w:t xml:space="preserve"> wie auch </w:t>
      </w:r>
      <w:r w:rsidR="00820698" w:rsidRPr="008A1A51">
        <w:rPr>
          <w:b/>
          <w:bCs/>
          <w:lang w:val="de-DE"/>
        </w:rPr>
        <w:t xml:space="preserve">unnötige und schädliche </w:t>
      </w:r>
      <w:r w:rsidR="00AF166D" w:rsidRPr="008A1A51">
        <w:rPr>
          <w:b/>
          <w:bCs/>
          <w:lang w:val="de-DE"/>
        </w:rPr>
        <w:t>“Hormongaben”</w:t>
      </w:r>
      <w:r w:rsidR="00AF166D" w:rsidRPr="008A1A51">
        <w:rPr>
          <w:lang w:val="de-DE"/>
        </w:rPr>
        <w:t xml:space="preserve"> (S. 23)</w:t>
      </w:r>
      <w:r w:rsidR="000A40B6" w:rsidRPr="008A1A51">
        <w:rPr>
          <w:lang w:val="de-DE"/>
        </w:rPr>
        <w:t xml:space="preserve"> </w:t>
      </w:r>
      <w:r w:rsidR="00EE4D92" w:rsidRPr="008A1A51">
        <w:rPr>
          <w:b/>
          <w:bCs/>
          <w:lang w:val="de-DE"/>
        </w:rPr>
        <w:t>ausgeschlossen</w:t>
      </w:r>
      <w:r w:rsidR="00EE4D92" w:rsidRPr="008A1A51">
        <w:rPr>
          <w:lang w:val="de-DE"/>
        </w:rPr>
        <w:t xml:space="preserve"> </w:t>
      </w:r>
      <w:r w:rsidR="0094572E" w:rsidRPr="008A1A51">
        <w:rPr>
          <w:lang w:val="de-DE"/>
        </w:rPr>
        <w:t xml:space="preserve">und dadurch </w:t>
      </w:r>
      <w:r w:rsidR="0094572E" w:rsidRPr="008A1A51">
        <w:rPr>
          <w:b/>
          <w:bCs/>
          <w:lang w:val="de-DE"/>
        </w:rPr>
        <w:t>legalisiert</w:t>
      </w:r>
      <w:r w:rsidR="0094572E" w:rsidRPr="008A1A51">
        <w:rPr>
          <w:lang w:val="de-DE"/>
        </w:rPr>
        <w:t xml:space="preserve"> werden soll</w:t>
      </w:r>
      <w:r w:rsidRPr="008A1A51">
        <w:rPr>
          <w:lang w:val="de-DE"/>
        </w:rPr>
        <w:t>en</w:t>
      </w:r>
      <w:r w:rsidR="0094572E" w:rsidRPr="008A1A51">
        <w:rPr>
          <w:lang w:val="de-DE"/>
        </w:rPr>
        <w:t xml:space="preserve">, </w:t>
      </w:r>
      <w:r w:rsidRPr="008A1A51">
        <w:rPr>
          <w:lang w:val="de-DE"/>
        </w:rPr>
        <w:t xml:space="preserve">ist </w:t>
      </w:r>
      <w:r w:rsidR="0094572E" w:rsidRPr="008A1A51">
        <w:rPr>
          <w:lang w:val="de-DE"/>
        </w:rPr>
        <w:t>nicht nachvollziehbar.</w:t>
      </w:r>
      <w:r w:rsidR="00292FB4" w:rsidRPr="008A1A51">
        <w:rPr>
          <w:lang w:val="de-DE"/>
        </w:rPr>
        <w:t xml:space="preserve"> Ein grund- und menschenrechtsgenügendes, wirksames Verbot muss zwingend </w:t>
      </w:r>
      <w:r w:rsidR="00292FB4" w:rsidRPr="008A1A51">
        <w:rPr>
          <w:b/>
          <w:bCs/>
          <w:lang w:val="de-DE"/>
        </w:rPr>
        <w:t>alle Formen nicht-eingewilligter und unnötiger Prozeduren an Intersex-Kindern</w:t>
      </w:r>
      <w:r w:rsidR="00292FB4" w:rsidRPr="008A1A51">
        <w:rPr>
          <w:lang w:val="de-DE"/>
        </w:rPr>
        <w:t xml:space="preserve"> umfassen</w:t>
      </w:r>
      <w:r w:rsidR="008B776B">
        <w:rPr>
          <w:lang w:val="de-DE"/>
        </w:rPr>
        <w:t xml:space="preserve">, und darf </w:t>
      </w:r>
      <w:r w:rsidR="008B776B" w:rsidRPr="008B776B">
        <w:rPr>
          <w:b/>
          <w:bCs/>
          <w:lang w:val="de-DE"/>
        </w:rPr>
        <w:t>keinesfalls</w:t>
      </w:r>
      <w:r w:rsidR="008B776B">
        <w:rPr>
          <w:lang w:val="de-DE"/>
        </w:rPr>
        <w:t xml:space="preserve"> wie der </w:t>
      </w:r>
      <w:proofErr w:type="spellStart"/>
      <w:r w:rsidR="008B776B">
        <w:rPr>
          <w:lang w:val="de-DE"/>
        </w:rPr>
        <w:t>RefE</w:t>
      </w:r>
      <w:proofErr w:type="spellEnd"/>
      <w:r w:rsidR="008B776B">
        <w:rPr>
          <w:lang w:val="de-DE"/>
        </w:rPr>
        <w:t xml:space="preserve"> </w:t>
      </w:r>
      <w:r w:rsidR="008B776B" w:rsidRPr="008B776B">
        <w:rPr>
          <w:lang w:val="de-DE"/>
        </w:rPr>
        <w:t>widerrechtliche Eingriffe noch explizit legalisieren</w:t>
      </w:r>
      <w:r w:rsidR="00292FB4" w:rsidRPr="008A1A51">
        <w:rPr>
          <w:lang w:val="de-DE"/>
        </w:rPr>
        <w:t>.</w:t>
      </w:r>
    </w:p>
    <w:p w14:paraId="68C6421F" w14:textId="77777777" w:rsidR="000B6070" w:rsidRPr="008A1A51" w:rsidRDefault="00176CDE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Dass der </w:t>
      </w:r>
      <w:proofErr w:type="spellStart"/>
      <w:r w:rsidRPr="008A1A51">
        <w:rPr>
          <w:lang w:val="de-DE"/>
        </w:rPr>
        <w:t>RefE</w:t>
      </w:r>
      <w:proofErr w:type="spellEnd"/>
      <w:r w:rsidRPr="008A1A51">
        <w:rPr>
          <w:lang w:val="de-DE"/>
        </w:rPr>
        <w:t xml:space="preserve"> </w:t>
      </w:r>
      <w:r w:rsidR="0056212D" w:rsidRPr="008A1A51">
        <w:rPr>
          <w:lang w:val="de-DE"/>
        </w:rPr>
        <w:t xml:space="preserve">ferner nicht nur Prozeduren an Intersex-Kindern, sondern auch </w:t>
      </w:r>
      <w:r w:rsidR="0056212D" w:rsidRPr="008A1A51">
        <w:rPr>
          <w:b/>
          <w:bCs/>
          <w:lang w:val="de-DE"/>
        </w:rPr>
        <w:t>“Eingriffe an transgeschlechtlichen Personen”</w:t>
      </w:r>
      <w:r w:rsidR="0056212D" w:rsidRPr="008A1A51">
        <w:rPr>
          <w:lang w:val="de-DE"/>
        </w:rPr>
        <w:t xml:space="preserve"> (S. 24) umfassen soll</w:t>
      </w:r>
      <w:r w:rsidR="00420BB6" w:rsidRPr="008A1A51">
        <w:rPr>
          <w:lang w:val="de-DE"/>
        </w:rPr>
        <w:t>, ist nicht zielführend</w:t>
      </w:r>
      <w:r w:rsidR="002326A1" w:rsidRPr="008A1A51">
        <w:rPr>
          <w:lang w:val="de-DE"/>
        </w:rPr>
        <w:t>.</w:t>
      </w:r>
      <w:r w:rsidR="00420BB6" w:rsidRPr="008A1A51">
        <w:rPr>
          <w:lang w:val="de-DE"/>
        </w:rPr>
        <w:t xml:space="preserve"> </w:t>
      </w:r>
      <w:r w:rsidR="002326A1" w:rsidRPr="008A1A51">
        <w:rPr>
          <w:lang w:val="de-DE"/>
        </w:rPr>
        <w:t xml:space="preserve">Der </w:t>
      </w:r>
      <w:proofErr w:type="spellStart"/>
      <w:r w:rsidR="002326A1" w:rsidRPr="008A1A51">
        <w:rPr>
          <w:lang w:val="de-DE"/>
        </w:rPr>
        <w:t>RefE</w:t>
      </w:r>
      <w:proofErr w:type="spellEnd"/>
      <w:r w:rsidR="00420BB6" w:rsidRPr="008A1A51">
        <w:rPr>
          <w:lang w:val="de-DE"/>
        </w:rPr>
        <w:t xml:space="preserve"> verkennt</w:t>
      </w:r>
      <w:r w:rsidR="008E3136" w:rsidRPr="008A1A51">
        <w:rPr>
          <w:lang w:val="de-DE"/>
        </w:rPr>
        <w:t xml:space="preserve"> </w:t>
      </w:r>
      <w:r w:rsidR="002326A1" w:rsidRPr="008A1A51">
        <w:rPr>
          <w:lang w:val="de-DE"/>
        </w:rPr>
        <w:t xml:space="preserve">hier </w:t>
      </w:r>
      <w:r w:rsidR="008E3136" w:rsidRPr="008A1A51">
        <w:rPr>
          <w:lang w:val="de-DE"/>
        </w:rPr>
        <w:t>grundlegende Unterschiede zwischen den beiden Populationen, namentlich den besonderen</w:t>
      </w:r>
      <w:r w:rsidR="00820698" w:rsidRPr="008A1A51">
        <w:rPr>
          <w:lang w:val="de-DE"/>
        </w:rPr>
        <w:t>,</w:t>
      </w:r>
      <w:r w:rsidR="008E3136" w:rsidRPr="008A1A51">
        <w:rPr>
          <w:b/>
          <w:bCs/>
          <w:lang w:val="de-DE"/>
        </w:rPr>
        <w:t xml:space="preserve"> </w:t>
      </w:r>
      <w:r w:rsidR="00CA2DE9" w:rsidRPr="008A1A51">
        <w:rPr>
          <w:b/>
          <w:bCs/>
          <w:lang w:val="de-DE"/>
        </w:rPr>
        <w:t xml:space="preserve">massiven Druck durch Gesellschaft, Medizin </w:t>
      </w:r>
      <w:r w:rsidR="00766739" w:rsidRPr="008A1A51">
        <w:rPr>
          <w:b/>
          <w:bCs/>
          <w:lang w:val="de-DE"/>
        </w:rPr>
        <w:t>(</w:t>
      </w:r>
      <w:r w:rsidR="00CA2DE9" w:rsidRPr="008A1A51">
        <w:rPr>
          <w:b/>
          <w:bCs/>
          <w:lang w:val="de-DE"/>
        </w:rPr>
        <w:t>und oft auch Eltern</w:t>
      </w:r>
      <w:r w:rsidR="00766739" w:rsidRPr="008A1A51">
        <w:rPr>
          <w:b/>
          <w:bCs/>
          <w:lang w:val="de-DE"/>
        </w:rPr>
        <w:t>)</w:t>
      </w:r>
      <w:r w:rsidR="00CA2DE9" w:rsidRPr="008A1A51">
        <w:rPr>
          <w:b/>
          <w:bCs/>
          <w:lang w:val="de-DE"/>
        </w:rPr>
        <w:t xml:space="preserve"> zu unnötigen, schädlichen Prozeduren, dem lediglich Intersex-Kinder ausgesetz</w:t>
      </w:r>
      <w:r w:rsidR="00E7176C" w:rsidRPr="008A1A51">
        <w:rPr>
          <w:b/>
          <w:bCs/>
          <w:lang w:val="de-DE"/>
        </w:rPr>
        <w:t>t s</w:t>
      </w:r>
      <w:r w:rsidR="00CA2DE9" w:rsidRPr="008A1A51">
        <w:rPr>
          <w:b/>
          <w:bCs/>
          <w:lang w:val="de-DE"/>
        </w:rPr>
        <w:t>ind</w:t>
      </w:r>
      <w:r w:rsidR="00CA2DE9" w:rsidRPr="008A1A51">
        <w:rPr>
          <w:lang w:val="de-DE"/>
        </w:rPr>
        <w:t xml:space="preserve"> (nicht jedoch Trans-Kinder).</w:t>
      </w:r>
      <w:r w:rsidR="00120C4D" w:rsidRPr="008A1A51">
        <w:rPr>
          <w:lang w:val="de-DE"/>
        </w:rPr>
        <w:t xml:space="preserve"> </w:t>
      </w:r>
    </w:p>
    <w:p w14:paraId="0A70FA33" w14:textId="00BD2DD3" w:rsidR="0016348A" w:rsidRDefault="00120C4D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Ebenso verkennt der </w:t>
      </w:r>
      <w:proofErr w:type="spellStart"/>
      <w:r w:rsidRPr="008A1A51">
        <w:rPr>
          <w:lang w:val="de-DE"/>
        </w:rPr>
        <w:t>RefE</w:t>
      </w:r>
      <w:proofErr w:type="spellEnd"/>
      <w:r w:rsidR="005B6577" w:rsidRPr="008A1A51">
        <w:rPr>
          <w:lang w:val="de-DE"/>
        </w:rPr>
        <w:t xml:space="preserve">, indem </w:t>
      </w:r>
      <w:r w:rsidR="001A02AB" w:rsidRPr="008A1A51">
        <w:rPr>
          <w:lang w:val="de-DE"/>
        </w:rPr>
        <w:t>für</w:t>
      </w:r>
      <w:r w:rsidR="005B6577" w:rsidRPr="008A1A51">
        <w:rPr>
          <w:lang w:val="de-DE"/>
        </w:rPr>
        <w:t xml:space="preserve"> </w:t>
      </w:r>
      <w:r w:rsidR="003675C9" w:rsidRPr="008A1A51">
        <w:rPr>
          <w:b/>
          <w:bCs/>
          <w:lang w:val="de-DE"/>
        </w:rPr>
        <w:t>“Kinder ab Vollendung des 14. Leben</w:t>
      </w:r>
      <w:r w:rsidR="003A5408" w:rsidRPr="008A1A51">
        <w:rPr>
          <w:b/>
          <w:bCs/>
          <w:lang w:val="de-DE"/>
        </w:rPr>
        <w:t>s</w:t>
      </w:r>
      <w:r w:rsidR="003675C9" w:rsidRPr="008A1A51">
        <w:rPr>
          <w:b/>
          <w:bCs/>
          <w:lang w:val="de-DE"/>
        </w:rPr>
        <w:t>jahres”</w:t>
      </w:r>
      <w:r w:rsidR="0034138F" w:rsidRPr="008A1A51">
        <w:rPr>
          <w:lang w:val="de-DE"/>
        </w:rPr>
        <w:t xml:space="preserve">, </w:t>
      </w:r>
      <w:r w:rsidR="003675C9" w:rsidRPr="008A1A51">
        <w:rPr>
          <w:lang w:val="de-DE"/>
        </w:rPr>
        <w:t>wenn auch unter Vorbehalt der “Genehmigung durch das Familiengericht”</w:t>
      </w:r>
      <w:r w:rsidR="0034138F" w:rsidRPr="008A1A51">
        <w:rPr>
          <w:lang w:val="de-DE"/>
        </w:rPr>
        <w:t xml:space="preserve"> (S. 2),</w:t>
      </w:r>
      <w:r w:rsidR="003675C9" w:rsidRPr="008A1A51">
        <w:rPr>
          <w:lang w:val="de-DE"/>
        </w:rPr>
        <w:t xml:space="preserve"> </w:t>
      </w:r>
      <w:r w:rsidR="001A02AB" w:rsidRPr="008A1A51">
        <w:rPr>
          <w:lang w:val="de-DE"/>
        </w:rPr>
        <w:t xml:space="preserve">eine </w:t>
      </w:r>
      <w:r w:rsidR="001A02AB" w:rsidRPr="008A1A51">
        <w:rPr>
          <w:b/>
          <w:bCs/>
          <w:lang w:val="de-DE"/>
        </w:rPr>
        <w:t xml:space="preserve">“eigene, selbstbestimmte Entscheidung” </w:t>
      </w:r>
      <w:r w:rsidR="0034138F" w:rsidRPr="008A1A51">
        <w:rPr>
          <w:b/>
          <w:bCs/>
          <w:lang w:val="de-DE"/>
        </w:rPr>
        <w:t xml:space="preserve">(S. 31) </w:t>
      </w:r>
      <w:r w:rsidR="001A02AB" w:rsidRPr="008A1A51">
        <w:rPr>
          <w:b/>
          <w:bCs/>
          <w:lang w:val="de-DE"/>
        </w:rPr>
        <w:t>über unnötige und irreversible Prozeduren</w:t>
      </w:r>
      <w:r w:rsidR="001A02AB" w:rsidRPr="008A1A51">
        <w:rPr>
          <w:lang w:val="de-DE"/>
        </w:rPr>
        <w:t xml:space="preserve"> ermöglichen will, dass </w:t>
      </w:r>
      <w:r w:rsidR="001A02AB" w:rsidRPr="008A1A51">
        <w:rPr>
          <w:b/>
          <w:bCs/>
          <w:lang w:val="de-DE"/>
        </w:rPr>
        <w:t xml:space="preserve">auch ältere </w:t>
      </w:r>
      <w:r w:rsidR="000B6070" w:rsidRPr="008A1A51">
        <w:rPr>
          <w:b/>
          <w:bCs/>
          <w:lang w:val="de-DE"/>
        </w:rPr>
        <w:t>Intersex-</w:t>
      </w:r>
      <w:r w:rsidR="001A02AB" w:rsidRPr="008A1A51">
        <w:rPr>
          <w:b/>
          <w:bCs/>
          <w:lang w:val="de-DE"/>
        </w:rPr>
        <w:t>Kinder (und sogar junge Erwachsene)</w:t>
      </w:r>
      <w:r w:rsidR="001A02AB" w:rsidRPr="008A1A51">
        <w:rPr>
          <w:lang w:val="de-DE"/>
        </w:rPr>
        <w:t xml:space="preserve"> </w:t>
      </w:r>
      <w:r w:rsidR="002C3EDD" w:rsidRPr="008A1A51">
        <w:rPr>
          <w:lang w:val="de-DE"/>
        </w:rPr>
        <w:t xml:space="preserve">immer noch </w:t>
      </w:r>
      <w:r w:rsidR="000B6070" w:rsidRPr="008A1A51">
        <w:rPr>
          <w:lang w:val="de-DE"/>
        </w:rPr>
        <w:t>diesem</w:t>
      </w:r>
      <w:r w:rsidR="002C3EDD" w:rsidRPr="008A1A51">
        <w:rPr>
          <w:lang w:val="de-DE"/>
        </w:rPr>
        <w:t xml:space="preserve"> </w:t>
      </w:r>
      <w:r w:rsidR="000B6070" w:rsidRPr="008A1A51">
        <w:rPr>
          <w:lang w:val="de-DE"/>
        </w:rPr>
        <w:t xml:space="preserve">obengenannten </w:t>
      </w:r>
      <w:r w:rsidR="002C3EDD" w:rsidRPr="008A1A51">
        <w:rPr>
          <w:b/>
          <w:bCs/>
          <w:lang w:val="de-DE"/>
        </w:rPr>
        <w:t>massiven Druck ausgesetzt sind</w:t>
      </w:r>
      <w:r w:rsidR="0034138F" w:rsidRPr="008A1A51">
        <w:rPr>
          <w:lang w:val="de-DE"/>
        </w:rPr>
        <w:t xml:space="preserve">, vorschnell in </w:t>
      </w:r>
      <w:r w:rsidR="0034138F" w:rsidRPr="008A1A51">
        <w:rPr>
          <w:b/>
          <w:bCs/>
          <w:lang w:val="de-DE"/>
        </w:rPr>
        <w:t>irreversible Eingriff</w:t>
      </w:r>
      <w:r w:rsidR="003A5408" w:rsidRPr="008A1A51">
        <w:rPr>
          <w:b/>
          <w:bCs/>
          <w:lang w:val="de-DE"/>
        </w:rPr>
        <w:t>e</w:t>
      </w:r>
      <w:r w:rsidR="0034138F" w:rsidRPr="008A1A51">
        <w:rPr>
          <w:b/>
          <w:bCs/>
          <w:lang w:val="de-DE"/>
        </w:rPr>
        <w:t xml:space="preserve"> “einzuwilligen”, </w:t>
      </w:r>
      <w:r w:rsidR="003A5408" w:rsidRPr="008A1A51">
        <w:rPr>
          <w:b/>
          <w:bCs/>
          <w:lang w:val="de-DE"/>
        </w:rPr>
        <w:t>die</w:t>
      </w:r>
      <w:r w:rsidR="0034138F" w:rsidRPr="008A1A51">
        <w:rPr>
          <w:b/>
          <w:bCs/>
          <w:lang w:val="de-DE"/>
        </w:rPr>
        <w:t xml:space="preserve"> sie später bereuen.</w:t>
      </w:r>
      <w:r w:rsidR="00F971BE" w:rsidRPr="008A1A51">
        <w:rPr>
          <w:lang w:val="de-DE"/>
        </w:rPr>
        <w:t xml:space="preserve"> Dies zeigt sich insbesondere an </w:t>
      </w:r>
      <w:r w:rsidR="0028390D" w:rsidRPr="008A1A51">
        <w:rPr>
          <w:b/>
          <w:bCs/>
          <w:lang w:val="de-DE"/>
        </w:rPr>
        <w:t xml:space="preserve">konkreten </w:t>
      </w:r>
      <w:r w:rsidR="00F971BE" w:rsidRPr="008A1A51">
        <w:rPr>
          <w:b/>
          <w:bCs/>
          <w:lang w:val="de-DE"/>
        </w:rPr>
        <w:t xml:space="preserve">Beispielen </w:t>
      </w:r>
      <w:r w:rsidR="00B64CEC" w:rsidRPr="008A1A51">
        <w:rPr>
          <w:b/>
          <w:bCs/>
          <w:lang w:val="de-DE"/>
        </w:rPr>
        <w:t>und Zeugnissen</w:t>
      </w:r>
      <w:r w:rsidR="00B64CEC" w:rsidRPr="008A1A51">
        <w:rPr>
          <w:lang w:val="de-DE"/>
        </w:rPr>
        <w:t xml:space="preserve"> </w:t>
      </w:r>
      <w:r w:rsidR="00F971BE" w:rsidRPr="008A1A51">
        <w:rPr>
          <w:lang w:val="de-DE"/>
        </w:rPr>
        <w:t>aus Ländern</w:t>
      </w:r>
      <w:r w:rsidR="0028390D" w:rsidRPr="008A1A51">
        <w:rPr>
          <w:lang w:val="de-DE"/>
        </w:rPr>
        <w:t>, in denen Sozialversicherungen Eingriffe nur bis zu einem bestimmten Alter übernehmen (z.B. Kanada bis 16 Jahre, Schweiz bis 20 Jahre)</w:t>
      </w:r>
      <w:r w:rsidR="00B64CEC" w:rsidRPr="008A1A51">
        <w:rPr>
          <w:lang w:val="de-DE"/>
        </w:rPr>
        <w:t>.</w:t>
      </w:r>
      <w:r w:rsidR="003A5408" w:rsidRPr="008A1A51">
        <w:rPr>
          <w:rStyle w:val="Funotenzeichen"/>
          <w:lang w:val="de-DE"/>
        </w:rPr>
        <w:footnoteReference w:id="4"/>
      </w:r>
      <w:r w:rsidR="003A5408" w:rsidRPr="008A1A51">
        <w:rPr>
          <w:lang w:val="de-DE"/>
        </w:rPr>
        <w:t xml:space="preserve"> </w:t>
      </w:r>
    </w:p>
    <w:p w14:paraId="7493A97A" w14:textId="66BC44A5" w:rsidR="009E2E1B" w:rsidRDefault="009E2E1B" w:rsidP="007A483E">
      <w:pPr>
        <w:pStyle w:val="absatzschattenbericht"/>
        <w:rPr>
          <w:lang w:val="de-DE"/>
        </w:rPr>
      </w:pPr>
      <w:r>
        <w:rPr>
          <w:lang w:val="de-DE"/>
        </w:rPr>
        <w:t xml:space="preserve">Zudem stellt sich die Frage, </w:t>
      </w:r>
      <w:r w:rsidR="00880EDB">
        <w:rPr>
          <w:lang w:val="de-DE"/>
        </w:rPr>
        <w:t xml:space="preserve">ob </w:t>
      </w:r>
      <w:r w:rsidR="00880EDB" w:rsidRPr="00AF639F">
        <w:rPr>
          <w:b/>
          <w:bCs/>
          <w:lang w:val="de-DE"/>
        </w:rPr>
        <w:t>Familiengerichte</w:t>
      </w:r>
      <w:r w:rsidR="00880EDB">
        <w:rPr>
          <w:lang w:val="de-DE"/>
        </w:rPr>
        <w:t xml:space="preserve"> prinzipiell in der Lage sind, </w:t>
      </w:r>
      <w:r w:rsidR="00DB445D">
        <w:rPr>
          <w:lang w:val="de-DE"/>
        </w:rPr>
        <w:t xml:space="preserve">die ihnen vom </w:t>
      </w:r>
      <w:proofErr w:type="spellStart"/>
      <w:r w:rsidR="00DB445D">
        <w:rPr>
          <w:lang w:val="de-DE"/>
        </w:rPr>
        <w:t>RefE</w:t>
      </w:r>
      <w:proofErr w:type="spellEnd"/>
      <w:r w:rsidR="00DB445D">
        <w:rPr>
          <w:lang w:val="de-DE"/>
        </w:rPr>
        <w:t xml:space="preserve"> aufgebürdete, </w:t>
      </w:r>
      <w:r w:rsidR="00DB445D" w:rsidRPr="00AF639F">
        <w:rPr>
          <w:b/>
          <w:bCs/>
          <w:lang w:val="de-DE"/>
        </w:rPr>
        <w:t>au</w:t>
      </w:r>
      <w:r w:rsidR="00411B1C" w:rsidRPr="00AF639F">
        <w:rPr>
          <w:b/>
          <w:bCs/>
          <w:lang w:val="de-DE"/>
        </w:rPr>
        <w:t>ß</w:t>
      </w:r>
      <w:r w:rsidR="00DB445D" w:rsidRPr="00AF639F">
        <w:rPr>
          <w:b/>
          <w:bCs/>
          <w:lang w:val="de-DE"/>
        </w:rPr>
        <w:t>erordentlich hohe Verantwortung</w:t>
      </w:r>
      <w:r w:rsidR="00DB445D">
        <w:rPr>
          <w:lang w:val="de-DE"/>
        </w:rPr>
        <w:t xml:space="preserve"> angemessen wa</w:t>
      </w:r>
      <w:r w:rsidR="00411B1C">
        <w:rPr>
          <w:lang w:val="de-DE"/>
        </w:rPr>
        <w:t>h</w:t>
      </w:r>
      <w:r w:rsidR="00DB445D">
        <w:rPr>
          <w:lang w:val="de-DE"/>
        </w:rPr>
        <w:t>rzunehmen</w:t>
      </w:r>
      <w:r w:rsidR="00411B1C">
        <w:rPr>
          <w:lang w:val="de-DE"/>
        </w:rPr>
        <w:t xml:space="preserve">, erst recht, wenn sie wie vom </w:t>
      </w:r>
      <w:proofErr w:type="spellStart"/>
      <w:r w:rsidR="00411B1C">
        <w:rPr>
          <w:lang w:val="de-DE"/>
        </w:rPr>
        <w:t>RefE</w:t>
      </w:r>
      <w:proofErr w:type="spellEnd"/>
      <w:r w:rsidR="00411B1C">
        <w:rPr>
          <w:lang w:val="de-DE"/>
        </w:rPr>
        <w:t xml:space="preserve"> vorgesehen ausschließlich auf </w:t>
      </w:r>
      <w:r w:rsidR="00AF639F">
        <w:rPr>
          <w:lang w:val="de-DE"/>
        </w:rPr>
        <w:t xml:space="preserve">medizinische Expertise abstellen sollen (siehe auch unten). Beispiele aus dem Ausland, insbesondere der berüchtigte australische Fall </w:t>
      </w:r>
      <w:r w:rsidR="00FF4E5B">
        <w:rPr>
          <w:lang w:val="de-DE"/>
        </w:rPr>
        <w:t>von</w:t>
      </w:r>
      <w:r w:rsidR="00AF639F">
        <w:rPr>
          <w:lang w:val="de-DE"/>
        </w:rPr>
        <w:t xml:space="preserve"> 2016 </w:t>
      </w:r>
      <w:r w:rsidR="00AF639F" w:rsidRPr="00C54D8E">
        <w:rPr>
          <w:b/>
          <w:bCs/>
          <w:lang w:val="de-DE"/>
        </w:rPr>
        <w:t xml:space="preserve">“Re: Carla (Medical </w:t>
      </w:r>
      <w:proofErr w:type="spellStart"/>
      <w:r w:rsidR="00AF639F" w:rsidRPr="00C54D8E">
        <w:rPr>
          <w:b/>
          <w:bCs/>
          <w:lang w:val="de-DE"/>
        </w:rPr>
        <w:t>procedure</w:t>
      </w:r>
      <w:proofErr w:type="spellEnd"/>
      <w:r w:rsidR="00AF639F" w:rsidRPr="00C54D8E">
        <w:rPr>
          <w:b/>
          <w:bCs/>
          <w:lang w:val="de-DE"/>
        </w:rPr>
        <w:t xml:space="preserve">) </w:t>
      </w:r>
      <w:proofErr w:type="spellStart"/>
      <w:r w:rsidR="00AF639F" w:rsidRPr="00C54D8E">
        <w:rPr>
          <w:b/>
          <w:bCs/>
          <w:lang w:val="de-DE"/>
        </w:rPr>
        <w:t>FamCA</w:t>
      </w:r>
      <w:proofErr w:type="spellEnd"/>
      <w:r w:rsidR="00AF639F" w:rsidRPr="00C54D8E">
        <w:rPr>
          <w:b/>
          <w:bCs/>
          <w:lang w:val="de-DE"/>
        </w:rPr>
        <w:t xml:space="preserve"> 7”</w:t>
      </w:r>
      <w:r w:rsidR="00C54D8E" w:rsidRPr="008A1A51">
        <w:rPr>
          <w:rStyle w:val="Funotenzeichen"/>
          <w:lang w:val="de-DE"/>
        </w:rPr>
        <w:footnoteReference w:id="5"/>
      </w:r>
      <w:r w:rsidR="00C54D8E">
        <w:rPr>
          <w:lang w:val="de-DE"/>
        </w:rPr>
        <w:t xml:space="preserve">, </w:t>
      </w:r>
      <w:r w:rsidR="00AB3C4D">
        <w:rPr>
          <w:lang w:val="de-DE"/>
        </w:rPr>
        <w:t xml:space="preserve">bei dem ein Familiengericht </w:t>
      </w:r>
      <w:r w:rsidR="00383A15">
        <w:rPr>
          <w:lang w:val="de-DE"/>
        </w:rPr>
        <w:t xml:space="preserve">u.a. </w:t>
      </w:r>
      <w:r w:rsidR="00AC7A95">
        <w:rPr>
          <w:lang w:val="de-DE"/>
        </w:rPr>
        <w:t xml:space="preserve">eine </w:t>
      </w:r>
      <w:proofErr w:type="spellStart"/>
      <w:r w:rsidR="00AC7A95">
        <w:rPr>
          <w:lang w:val="de-DE"/>
        </w:rPr>
        <w:t>Klitoristeilamputation</w:t>
      </w:r>
      <w:proofErr w:type="spellEnd"/>
      <w:r w:rsidR="00AC7A95">
        <w:rPr>
          <w:lang w:val="de-DE"/>
        </w:rPr>
        <w:t xml:space="preserve"> und “Vaginalplastik” an einem dreijährigen Kind als bedenkenlos und als “Verbesserung des</w:t>
      </w:r>
      <w:r w:rsidR="00AC7A95" w:rsidRPr="00AC7A95">
        <w:rPr>
          <w:lang w:val="de-DE"/>
        </w:rPr>
        <w:t xml:space="preserve"> Aussehen</w:t>
      </w:r>
      <w:r w:rsidR="00AC7A95">
        <w:rPr>
          <w:lang w:val="de-DE"/>
        </w:rPr>
        <w:t>s</w:t>
      </w:r>
      <w:r w:rsidR="00AC7A95" w:rsidRPr="00AC7A95">
        <w:rPr>
          <w:lang w:val="de-DE"/>
        </w:rPr>
        <w:t xml:space="preserve"> ihrer weiblichen Genitalien</w:t>
      </w:r>
      <w:r w:rsidR="00AC7A95">
        <w:rPr>
          <w:lang w:val="de-DE"/>
        </w:rPr>
        <w:t xml:space="preserve">” klassifizierte und zusätzlich eine </w:t>
      </w:r>
      <w:proofErr w:type="spellStart"/>
      <w:r w:rsidR="00AC7A95">
        <w:rPr>
          <w:lang w:val="de-DE"/>
        </w:rPr>
        <w:t>Gonadektomie</w:t>
      </w:r>
      <w:proofErr w:type="spellEnd"/>
      <w:r w:rsidR="00AC7A95">
        <w:rPr>
          <w:lang w:val="de-DE"/>
        </w:rPr>
        <w:t xml:space="preserve"> am selben fünfjährigen Kind ohne weiteres bewilligte, </w:t>
      </w:r>
      <w:r w:rsidR="00FF4E5B">
        <w:rPr>
          <w:lang w:val="de-DE"/>
        </w:rPr>
        <w:t>stellen keine gute Prognose.</w:t>
      </w:r>
    </w:p>
    <w:p w14:paraId="5860F807" w14:textId="03B250A6" w:rsidR="0016348A" w:rsidRPr="008A1A51" w:rsidRDefault="0016348A" w:rsidP="00BD5C1C">
      <w:pPr>
        <w:pStyle w:val="Title2"/>
        <w:rPr>
          <w:lang w:val="de-DE"/>
        </w:rPr>
      </w:pPr>
      <w:r w:rsidRPr="008A1A51">
        <w:rPr>
          <w:lang w:val="de-DE"/>
        </w:rPr>
        <w:lastRenderedPageBreak/>
        <w:t>2.</w:t>
      </w:r>
      <w:r w:rsidR="00A007F8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 </w:t>
      </w:r>
      <w:r w:rsidR="00B7560F" w:rsidRPr="008A1A51">
        <w:rPr>
          <w:lang w:val="de-DE"/>
        </w:rPr>
        <w:t xml:space="preserve">Unzulässiger Fokus </w:t>
      </w:r>
      <w:r w:rsidR="00BD5C1C" w:rsidRPr="008A1A51">
        <w:rPr>
          <w:lang w:val="de-DE"/>
        </w:rPr>
        <w:t xml:space="preserve">auf die Wahrnehmung </w:t>
      </w:r>
      <w:r w:rsidR="00D0167C">
        <w:rPr>
          <w:lang w:val="de-DE"/>
        </w:rPr>
        <w:t xml:space="preserve">und Motive </w:t>
      </w:r>
      <w:r w:rsidR="00BD5C1C" w:rsidRPr="008A1A51">
        <w:rPr>
          <w:lang w:val="de-DE"/>
        </w:rPr>
        <w:t xml:space="preserve">der </w:t>
      </w:r>
      <w:proofErr w:type="spellStart"/>
      <w:r w:rsidR="00BD5C1C" w:rsidRPr="008A1A51">
        <w:rPr>
          <w:lang w:val="de-DE"/>
        </w:rPr>
        <w:t>TäterInnen</w:t>
      </w:r>
      <w:proofErr w:type="spellEnd"/>
      <w:r w:rsidR="00BD5C1C" w:rsidRPr="008A1A51">
        <w:rPr>
          <w:lang w:val="de-DE"/>
        </w:rPr>
        <w:t xml:space="preserve"> </w:t>
      </w:r>
      <w:r w:rsidR="00BD5C1C" w:rsidRPr="008A1A51">
        <w:rPr>
          <w:lang w:val="de-DE"/>
        </w:rPr>
        <w:br/>
        <w:t xml:space="preserve">     statt auf Auswirkungen für die Betroffenen und ihre Rechte</w:t>
      </w:r>
    </w:p>
    <w:p w14:paraId="168B0844" w14:textId="7B9D6E84" w:rsidR="0016348A" w:rsidRPr="008A1A51" w:rsidRDefault="00ED3B7C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Die </w:t>
      </w:r>
      <w:r w:rsidRPr="008A1A51">
        <w:rPr>
          <w:b/>
          <w:bCs/>
          <w:lang w:val="de-DE"/>
        </w:rPr>
        <w:t xml:space="preserve">Pseudo-Unterscheidung des </w:t>
      </w:r>
      <w:proofErr w:type="spellStart"/>
      <w:r w:rsidRPr="008A1A51">
        <w:rPr>
          <w:b/>
          <w:bCs/>
          <w:lang w:val="de-DE"/>
        </w:rPr>
        <w:t>RefE</w:t>
      </w:r>
      <w:proofErr w:type="spellEnd"/>
      <w:r w:rsidRPr="008A1A51">
        <w:rPr>
          <w:b/>
          <w:bCs/>
          <w:lang w:val="de-DE"/>
        </w:rPr>
        <w:t xml:space="preserve"> zwischen “geschlechtsangleichenden” und “geschlechtsverändernden” Eingriffen</w:t>
      </w:r>
      <w:r w:rsidRPr="008A1A51">
        <w:rPr>
          <w:lang w:val="de-DE"/>
        </w:rPr>
        <w:t xml:space="preserve"> ist aus menschenrechtlicher Perspektive </w:t>
      </w:r>
      <w:r w:rsidRPr="008A1A51">
        <w:rPr>
          <w:b/>
          <w:bCs/>
          <w:lang w:val="de-DE"/>
        </w:rPr>
        <w:t>unzulässig</w:t>
      </w:r>
      <w:r w:rsidRPr="008A1A51">
        <w:rPr>
          <w:lang w:val="de-DE"/>
        </w:rPr>
        <w:t xml:space="preserve"> und</w:t>
      </w:r>
      <w:r w:rsidR="006B6392" w:rsidRPr="008A1A51">
        <w:rPr>
          <w:lang w:val="de-DE"/>
        </w:rPr>
        <w:t xml:space="preserve">, auch wenn der </w:t>
      </w:r>
      <w:proofErr w:type="spellStart"/>
      <w:r w:rsidR="006B6392" w:rsidRPr="008A1A51">
        <w:rPr>
          <w:lang w:val="de-DE"/>
        </w:rPr>
        <w:t>RefE</w:t>
      </w:r>
      <w:proofErr w:type="spellEnd"/>
      <w:r w:rsidR="006B6392" w:rsidRPr="008A1A51">
        <w:rPr>
          <w:lang w:val="de-DE"/>
        </w:rPr>
        <w:t xml:space="preserve"> (S. 24) dies im Einzelnen abstreitet, letztlich </w:t>
      </w:r>
      <w:r w:rsidRPr="008A1A51">
        <w:rPr>
          <w:lang w:val="de-DE"/>
        </w:rPr>
        <w:t>nichts weiter als ein Wiederaufwärmen der</w:t>
      </w:r>
      <w:r w:rsidR="006B6392" w:rsidRPr="008A1A51">
        <w:rPr>
          <w:lang w:val="de-DE"/>
        </w:rPr>
        <w:t xml:space="preserve"> ebenso unzulässigen</w:t>
      </w:r>
      <w:r w:rsidRPr="008A1A51">
        <w:rPr>
          <w:lang w:val="de-DE"/>
        </w:rPr>
        <w:t xml:space="preserve"> Pseudo-Unterscheidung des </w:t>
      </w:r>
      <w:r w:rsidR="006B6392" w:rsidRPr="008A1A51">
        <w:rPr>
          <w:b/>
          <w:bCs/>
          <w:lang w:val="de-DE"/>
        </w:rPr>
        <w:t xml:space="preserve">Deutschen </w:t>
      </w:r>
      <w:r w:rsidRPr="008A1A51">
        <w:rPr>
          <w:b/>
          <w:bCs/>
          <w:lang w:val="de-DE"/>
        </w:rPr>
        <w:t>Ethikrates</w:t>
      </w:r>
      <w:r w:rsidRPr="008A1A51">
        <w:rPr>
          <w:lang w:val="de-DE"/>
        </w:rPr>
        <w:t xml:space="preserve"> zwischen “</w:t>
      </w:r>
      <w:proofErr w:type="spellStart"/>
      <w:r w:rsidRPr="008A1A51">
        <w:rPr>
          <w:lang w:val="de-DE"/>
        </w:rPr>
        <w:t>geschlechtsvereindeutigenden</w:t>
      </w:r>
      <w:proofErr w:type="spellEnd"/>
      <w:r w:rsidRPr="008A1A51">
        <w:rPr>
          <w:lang w:val="de-DE"/>
        </w:rPr>
        <w:t>” und “geschlechtszuordnenden” Eingriffen</w:t>
      </w:r>
      <w:r w:rsidR="006B6392" w:rsidRPr="008A1A51">
        <w:rPr>
          <w:lang w:val="de-DE"/>
        </w:rPr>
        <w:t xml:space="preserve">. </w:t>
      </w:r>
    </w:p>
    <w:p w14:paraId="61A5AA26" w14:textId="3CF11D65" w:rsidR="006B6392" w:rsidRDefault="005A662F" w:rsidP="007A483E">
      <w:pPr>
        <w:pStyle w:val="absatzschattenbericht"/>
        <w:rPr>
          <w:lang w:val="de-DE"/>
        </w:rPr>
      </w:pPr>
      <w:r w:rsidRPr="008A1A51">
        <w:rPr>
          <w:lang w:val="de-DE"/>
        </w:rPr>
        <w:t xml:space="preserve">Dass und warum </w:t>
      </w:r>
      <w:r w:rsidR="00237DA1">
        <w:rPr>
          <w:lang w:val="de-DE"/>
        </w:rPr>
        <w:t>solche</w:t>
      </w:r>
      <w:r w:rsidRPr="008A1A51">
        <w:rPr>
          <w:lang w:val="de-DE"/>
        </w:rPr>
        <w:t xml:space="preserve"> Pseudo-Unterscheidungen menschenrechtlich unhaltbar sind, </w:t>
      </w:r>
      <w:r w:rsidR="008A1A51" w:rsidRPr="008A1A51">
        <w:rPr>
          <w:lang w:val="de-DE"/>
        </w:rPr>
        <w:t xml:space="preserve">erklärte Beate Rudolf (Deutsches Institut für Menschenrechte) bereits 2012 an einem </w:t>
      </w:r>
      <w:r w:rsidR="008A1A51" w:rsidRPr="00410B61">
        <w:rPr>
          <w:b/>
          <w:bCs/>
          <w:lang w:val="de-DE"/>
        </w:rPr>
        <w:t xml:space="preserve">“Fachgespräch auf </w:t>
      </w:r>
      <w:proofErr w:type="spellStart"/>
      <w:r w:rsidR="008A1A51" w:rsidRPr="00410B61">
        <w:rPr>
          <w:b/>
          <w:bCs/>
          <w:lang w:val="de-DE"/>
        </w:rPr>
        <w:t>Berichterstatterebene</w:t>
      </w:r>
      <w:proofErr w:type="spellEnd"/>
      <w:r w:rsidR="008A1A51" w:rsidRPr="00410B61">
        <w:rPr>
          <w:b/>
          <w:bCs/>
          <w:lang w:val="de-DE"/>
        </w:rPr>
        <w:t xml:space="preserve"> zum Thema ‘Empfehlungen internationaler Gremien zu den Menschenrechten intersexueller Menschen’”</w:t>
      </w:r>
      <w:r w:rsidR="008A1A51" w:rsidRPr="008A1A51">
        <w:rPr>
          <w:lang w:val="de-DE"/>
        </w:rPr>
        <w:t xml:space="preserve"> im </w:t>
      </w:r>
      <w:r w:rsidR="0073186E" w:rsidRPr="00410B61">
        <w:rPr>
          <w:b/>
          <w:bCs/>
          <w:lang w:val="de-DE"/>
        </w:rPr>
        <w:t>Bundestags-Ausschuss</w:t>
      </w:r>
      <w:r w:rsidR="008A1A51" w:rsidRPr="00410B61">
        <w:rPr>
          <w:b/>
          <w:bCs/>
          <w:lang w:val="de-DE"/>
        </w:rPr>
        <w:t xml:space="preserve"> für Familien, Senioren, Frauen und Jugend </w:t>
      </w:r>
      <w:r w:rsidR="008A1A51">
        <w:rPr>
          <w:lang w:val="de-DE"/>
        </w:rPr>
        <w:t>(</w:t>
      </w:r>
      <w:r w:rsidR="00D0167C">
        <w:rPr>
          <w:lang w:val="de-DE"/>
        </w:rPr>
        <w:t xml:space="preserve">vgl. </w:t>
      </w:r>
      <w:r w:rsidR="008A1A51">
        <w:rPr>
          <w:lang w:val="de-DE"/>
        </w:rPr>
        <w:t>Protokoll, S. 9)</w:t>
      </w:r>
      <w:r w:rsidR="008A1A51" w:rsidRPr="008A1A51">
        <w:rPr>
          <w:lang w:val="de-DE"/>
        </w:rPr>
        <w:t>:</w:t>
      </w:r>
      <w:r w:rsidR="002167DF" w:rsidRPr="008A1A51">
        <w:rPr>
          <w:rStyle w:val="Funotenzeichen"/>
          <w:lang w:val="de-DE"/>
        </w:rPr>
        <w:footnoteReference w:id="6"/>
      </w:r>
    </w:p>
    <w:p w14:paraId="7E5F18A9" w14:textId="77777777" w:rsidR="008A1A51" w:rsidRPr="008A1A51" w:rsidRDefault="008A1A51" w:rsidP="006C727E">
      <w:pPr>
        <w:pStyle w:val="absatzschattenbericht"/>
        <w:ind w:left="284"/>
        <w:rPr>
          <w:i/>
          <w:iCs/>
          <w:lang w:val="de-DE"/>
        </w:rPr>
      </w:pPr>
      <w:r>
        <w:rPr>
          <w:i/>
          <w:iCs/>
          <w:lang w:val="de-DE"/>
        </w:rPr>
        <w:t>“</w:t>
      </w:r>
      <w:r w:rsidRPr="008A1A51">
        <w:rPr>
          <w:i/>
          <w:iCs/>
          <w:lang w:val="de-DE"/>
        </w:rPr>
        <w:t xml:space="preserve">Die internationalen Gremien arbeiteten nicht mit der Unterscheidung zwischen geschlechtszuweisenden und geschlechtsangleichenden Operationen. Sie stellten auf die Auswirkungen </w:t>
      </w:r>
      <w:proofErr w:type="spellStart"/>
      <w:r w:rsidRPr="008A1A51">
        <w:rPr>
          <w:i/>
          <w:iCs/>
          <w:lang w:val="de-DE"/>
        </w:rPr>
        <w:t>für</w:t>
      </w:r>
      <w:proofErr w:type="spellEnd"/>
      <w:r w:rsidRPr="008A1A51">
        <w:rPr>
          <w:i/>
          <w:iCs/>
          <w:lang w:val="de-DE"/>
        </w:rPr>
        <w:t xml:space="preserve"> die betroffene Person, </w:t>
      </w:r>
      <w:proofErr w:type="spellStart"/>
      <w:r w:rsidRPr="008A1A51">
        <w:rPr>
          <w:i/>
          <w:iCs/>
          <w:lang w:val="de-DE"/>
        </w:rPr>
        <w:t>nämlich</w:t>
      </w:r>
      <w:proofErr w:type="spellEnd"/>
      <w:r w:rsidRPr="008A1A51">
        <w:rPr>
          <w:i/>
          <w:iCs/>
          <w:lang w:val="de-DE"/>
        </w:rPr>
        <w:t xml:space="preserve"> auf die </w:t>
      </w:r>
      <w:proofErr w:type="spellStart"/>
      <w:r w:rsidRPr="008A1A51">
        <w:rPr>
          <w:i/>
          <w:iCs/>
          <w:lang w:val="de-DE"/>
        </w:rPr>
        <w:t>Beeinträchtigun</w:t>
      </w:r>
      <w:r>
        <w:rPr>
          <w:i/>
          <w:iCs/>
          <w:lang w:val="de-DE"/>
        </w:rPr>
        <w:t>g</w:t>
      </w:r>
      <w:proofErr w:type="spellEnd"/>
      <w:r>
        <w:rPr>
          <w:i/>
          <w:iCs/>
          <w:lang w:val="de-DE"/>
        </w:rPr>
        <w:t xml:space="preserve"> </w:t>
      </w:r>
      <w:r w:rsidRPr="008A1A51">
        <w:rPr>
          <w:i/>
          <w:iCs/>
          <w:lang w:val="de-DE"/>
        </w:rPr>
        <w:t xml:space="preserve">der </w:t>
      </w:r>
      <w:proofErr w:type="spellStart"/>
      <w:r w:rsidRPr="008A1A51">
        <w:rPr>
          <w:i/>
          <w:iCs/>
          <w:lang w:val="de-DE"/>
        </w:rPr>
        <w:t>körperlichen</w:t>
      </w:r>
      <w:proofErr w:type="spellEnd"/>
      <w:r w:rsidRPr="008A1A51">
        <w:rPr>
          <w:i/>
          <w:iCs/>
          <w:lang w:val="de-DE"/>
        </w:rPr>
        <w:t xml:space="preserve"> Unversehrtheit, ab. […] In beiden vom Deutschen Ethikrat unterschiedenen </w:t>
      </w:r>
      <w:proofErr w:type="spellStart"/>
      <w:r w:rsidRPr="008A1A51">
        <w:rPr>
          <w:i/>
          <w:iCs/>
          <w:lang w:val="de-DE"/>
        </w:rPr>
        <w:t>Fällen</w:t>
      </w:r>
      <w:proofErr w:type="spellEnd"/>
      <w:r w:rsidRPr="008A1A51">
        <w:rPr>
          <w:i/>
          <w:iCs/>
          <w:lang w:val="de-DE"/>
        </w:rPr>
        <w:t xml:space="preserve"> gehe es um die Frage, ob eine zwingende medizinische Indikation </w:t>
      </w:r>
      <w:proofErr w:type="spellStart"/>
      <w:r w:rsidRPr="008A1A51">
        <w:rPr>
          <w:i/>
          <w:iCs/>
          <w:lang w:val="de-DE"/>
        </w:rPr>
        <w:t>für</w:t>
      </w:r>
      <w:proofErr w:type="spellEnd"/>
      <w:r w:rsidRPr="008A1A51">
        <w:rPr>
          <w:i/>
          <w:iCs/>
          <w:lang w:val="de-DE"/>
        </w:rPr>
        <w:t xml:space="preserve"> einen Eingriff zu einem Zeitpunkt vorliege, zu dem das Kind selbst noch nicht zustimmen oder ablehnen </w:t>
      </w:r>
      <w:proofErr w:type="spellStart"/>
      <w:r w:rsidRPr="008A1A51">
        <w:rPr>
          <w:i/>
          <w:iCs/>
          <w:lang w:val="de-DE"/>
        </w:rPr>
        <w:t>könne</w:t>
      </w:r>
      <w:proofErr w:type="spellEnd"/>
      <w:r w:rsidRPr="008A1A51">
        <w:rPr>
          <w:i/>
          <w:iCs/>
          <w:lang w:val="de-DE"/>
        </w:rPr>
        <w:t>.”</w:t>
      </w:r>
    </w:p>
    <w:p w14:paraId="0A3882B6" w14:textId="77777777" w:rsidR="00117C8A" w:rsidRDefault="005B4C42" w:rsidP="007A483E">
      <w:pPr>
        <w:pStyle w:val="absatzschattenbericht"/>
        <w:rPr>
          <w:lang w:val="de-DE"/>
        </w:rPr>
      </w:pPr>
      <w:r>
        <w:rPr>
          <w:lang w:val="de-DE"/>
        </w:rPr>
        <w:t xml:space="preserve">Nichtsdestotrotz </w:t>
      </w:r>
      <w:r w:rsidR="00491714" w:rsidRPr="0042781E">
        <w:rPr>
          <w:b/>
          <w:bCs/>
          <w:lang w:val="de-DE"/>
        </w:rPr>
        <w:t>fokussiert</w:t>
      </w:r>
      <w:r w:rsidRPr="0042781E">
        <w:rPr>
          <w:b/>
          <w:bCs/>
          <w:lang w:val="de-DE"/>
        </w:rPr>
        <w:t xml:space="preserve"> der </w:t>
      </w:r>
      <w:proofErr w:type="spellStart"/>
      <w:r w:rsidR="00A13526" w:rsidRPr="0042781E">
        <w:rPr>
          <w:b/>
          <w:bCs/>
          <w:lang w:val="de-DE"/>
        </w:rPr>
        <w:t>RefE</w:t>
      </w:r>
      <w:proofErr w:type="spellEnd"/>
      <w:r w:rsidR="00A13526">
        <w:rPr>
          <w:lang w:val="de-DE"/>
        </w:rPr>
        <w:t xml:space="preserve"> </w:t>
      </w:r>
      <w:r w:rsidR="00DE7161">
        <w:rPr>
          <w:lang w:val="de-DE"/>
        </w:rPr>
        <w:t xml:space="preserve">bei der Frage, ob und welche Formen von Intersex-Genitalverstümmelungen unter Strafe gestellt werden sollen, </w:t>
      </w:r>
      <w:r w:rsidR="00D0167C">
        <w:rPr>
          <w:lang w:val="de-DE"/>
        </w:rPr>
        <w:t xml:space="preserve">auch 8 Jahre später immer noch </w:t>
      </w:r>
      <w:r w:rsidR="00A13526">
        <w:rPr>
          <w:lang w:val="de-DE"/>
        </w:rPr>
        <w:t xml:space="preserve">unverändert, durchgehend und </w:t>
      </w:r>
      <w:proofErr w:type="spellStart"/>
      <w:r w:rsidR="00A13526">
        <w:rPr>
          <w:lang w:val="de-DE"/>
        </w:rPr>
        <w:t>unzulässigerweise</w:t>
      </w:r>
      <w:proofErr w:type="spellEnd"/>
      <w:r w:rsidR="00A13526">
        <w:rPr>
          <w:lang w:val="de-DE"/>
        </w:rPr>
        <w:t xml:space="preserve"> </w:t>
      </w:r>
      <w:r w:rsidR="00DE7161">
        <w:rPr>
          <w:lang w:val="de-DE"/>
        </w:rPr>
        <w:t xml:space="preserve">auf die </w:t>
      </w:r>
      <w:r w:rsidR="00DE7161" w:rsidRPr="0042781E">
        <w:rPr>
          <w:b/>
          <w:bCs/>
          <w:lang w:val="de-DE"/>
        </w:rPr>
        <w:t xml:space="preserve">Wahrnehmung und Motivationen der </w:t>
      </w:r>
      <w:proofErr w:type="spellStart"/>
      <w:r w:rsidR="00DE7161" w:rsidRPr="0042781E">
        <w:rPr>
          <w:b/>
          <w:bCs/>
          <w:lang w:val="de-DE"/>
        </w:rPr>
        <w:t>TäterInnen</w:t>
      </w:r>
      <w:proofErr w:type="spellEnd"/>
      <w:r w:rsidR="00DE7161">
        <w:rPr>
          <w:lang w:val="de-DE"/>
        </w:rPr>
        <w:t xml:space="preserve"> </w:t>
      </w:r>
      <w:r w:rsidR="00491714">
        <w:rPr>
          <w:lang w:val="de-DE"/>
        </w:rPr>
        <w:t xml:space="preserve">(z.B. bei </w:t>
      </w:r>
      <w:proofErr w:type="spellStart"/>
      <w:r w:rsidR="00491714">
        <w:rPr>
          <w:lang w:val="de-DE"/>
        </w:rPr>
        <w:t>Hypospadiekorrekturen</w:t>
      </w:r>
      <w:proofErr w:type="spellEnd"/>
      <w:r w:rsidR="00491714">
        <w:rPr>
          <w:lang w:val="de-DE"/>
        </w:rPr>
        <w:t xml:space="preserve"> “</w:t>
      </w:r>
      <w:r w:rsidR="00491714" w:rsidRPr="00491714">
        <w:rPr>
          <w:lang w:val="de-DE"/>
        </w:rPr>
        <w:t xml:space="preserve">je nachdem, ob sie </w:t>
      </w:r>
      <w:r w:rsidR="00491714">
        <w:rPr>
          <w:lang w:val="de-DE"/>
        </w:rPr>
        <w:t xml:space="preserve">[aus Sicht der </w:t>
      </w:r>
      <w:proofErr w:type="spellStart"/>
      <w:r w:rsidR="00491714">
        <w:rPr>
          <w:lang w:val="de-DE"/>
        </w:rPr>
        <w:t>MedizinerInnen</w:t>
      </w:r>
      <w:proofErr w:type="spellEnd"/>
      <w:r w:rsidR="00491714">
        <w:rPr>
          <w:lang w:val="de-DE"/>
        </w:rPr>
        <w:t xml:space="preserve">] </w:t>
      </w:r>
      <w:r w:rsidR="00491714" w:rsidRPr="00491714">
        <w:rPr>
          <w:lang w:val="de-DE"/>
        </w:rPr>
        <w:t xml:space="preserve">bei einem </w:t>
      </w:r>
      <w:proofErr w:type="spellStart"/>
      <w:r w:rsidR="00491714" w:rsidRPr="00491714">
        <w:rPr>
          <w:lang w:val="de-DE"/>
        </w:rPr>
        <w:t>männlichen</w:t>
      </w:r>
      <w:proofErr w:type="spellEnd"/>
      <w:r w:rsidR="00491714" w:rsidRPr="00491714">
        <w:rPr>
          <w:lang w:val="de-DE"/>
        </w:rPr>
        <w:t xml:space="preserve"> oder einem intergeschlechtlichen Kind vorgenommen werden</w:t>
      </w:r>
      <w:r w:rsidR="00491714">
        <w:rPr>
          <w:lang w:val="de-DE"/>
        </w:rPr>
        <w:t xml:space="preserve">”, vgl. S. 25) </w:t>
      </w:r>
      <w:r w:rsidR="00DE7161">
        <w:rPr>
          <w:lang w:val="de-DE"/>
        </w:rPr>
        <w:t xml:space="preserve">– statt, wie von Betroffenen, UN-Ausschüssen und </w:t>
      </w:r>
      <w:proofErr w:type="spellStart"/>
      <w:r w:rsidR="00DE7161">
        <w:rPr>
          <w:lang w:val="de-DE"/>
        </w:rPr>
        <w:t>MenschenrechtsexpertInnen</w:t>
      </w:r>
      <w:proofErr w:type="spellEnd"/>
      <w:r w:rsidR="00DE7161">
        <w:rPr>
          <w:lang w:val="de-DE"/>
        </w:rPr>
        <w:t xml:space="preserve"> </w:t>
      </w:r>
      <w:r w:rsidR="00802F82">
        <w:rPr>
          <w:lang w:val="de-DE"/>
        </w:rPr>
        <w:t xml:space="preserve">seit Jahr und Tag gefordert, auf die </w:t>
      </w:r>
      <w:r w:rsidR="00802F82" w:rsidRPr="0042781E">
        <w:rPr>
          <w:b/>
          <w:bCs/>
          <w:lang w:val="de-DE"/>
        </w:rPr>
        <w:t>Auswirkungen für die betroffene Person</w:t>
      </w:r>
      <w:r w:rsidR="00491714" w:rsidRPr="0042781E">
        <w:rPr>
          <w:b/>
          <w:bCs/>
          <w:lang w:val="de-DE"/>
        </w:rPr>
        <w:t xml:space="preserve"> und ihre unabdingbaren Grund- und Menschenrechte</w:t>
      </w:r>
      <w:r w:rsidR="00117C8A">
        <w:rPr>
          <w:lang w:val="de-DE"/>
        </w:rPr>
        <w:t>.</w:t>
      </w:r>
      <w:r w:rsidR="00D0167C" w:rsidRPr="00D0167C">
        <w:rPr>
          <w:lang w:val="de-DE"/>
        </w:rPr>
        <w:t xml:space="preserve"> </w:t>
      </w:r>
      <w:r w:rsidR="00117C8A">
        <w:rPr>
          <w:lang w:val="de-DE"/>
        </w:rPr>
        <w:t>S</w:t>
      </w:r>
      <w:r w:rsidR="00D0167C">
        <w:rPr>
          <w:lang w:val="de-DE"/>
        </w:rPr>
        <w:t xml:space="preserve">prich, </w:t>
      </w:r>
      <w:r w:rsidR="00117C8A">
        <w:rPr>
          <w:lang w:val="de-DE"/>
        </w:rPr>
        <w:t>entweder es liegt eine</w:t>
      </w:r>
      <w:r w:rsidR="00D0167C">
        <w:rPr>
          <w:lang w:val="de-DE"/>
        </w:rPr>
        <w:t xml:space="preserve"> </w:t>
      </w:r>
      <w:r w:rsidR="00D0167C" w:rsidRPr="00117C8A">
        <w:rPr>
          <w:b/>
          <w:bCs/>
          <w:lang w:val="de-DE"/>
        </w:rPr>
        <w:t>vitale medizinische Indikation</w:t>
      </w:r>
      <w:r w:rsidR="00D0167C">
        <w:rPr>
          <w:lang w:val="de-DE"/>
        </w:rPr>
        <w:t xml:space="preserve"> oder eine </w:t>
      </w:r>
      <w:r w:rsidR="00D0167C" w:rsidRPr="00117C8A">
        <w:rPr>
          <w:b/>
          <w:bCs/>
          <w:lang w:val="de-DE"/>
        </w:rPr>
        <w:t>informierte Zustimmung</w:t>
      </w:r>
      <w:r w:rsidR="00117C8A" w:rsidRPr="00117C8A">
        <w:rPr>
          <w:b/>
          <w:bCs/>
          <w:lang w:val="de-DE"/>
        </w:rPr>
        <w:t xml:space="preserve"> der betroffenen </w:t>
      </w:r>
      <w:r w:rsidR="00117C8A" w:rsidRPr="008B776B">
        <w:rPr>
          <w:b/>
          <w:bCs/>
          <w:lang w:val="de-DE"/>
        </w:rPr>
        <w:t>Person selbst</w:t>
      </w:r>
      <w:r w:rsidR="00117C8A">
        <w:rPr>
          <w:lang w:val="de-DE"/>
        </w:rPr>
        <w:t xml:space="preserve"> vor, oder aber es handelt sich um einen </w:t>
      </w:r>
      <w:r w:rsidR="00117C8A" w:rsidRPr="00117C8A">
        <w:rPr>
          <w:b/>
          <w:bCs/>
          <w:lang w:val="de-DE"/>
        </w:rPr>
        <w:t>widerrechtlichen Eingriff.</w:t>
      </w:r>
      <w:r w:rsidR="00117C8A">
        <w:rPr>
          <w:lang w:val="de-DE"/>
        </w:rPr>
        <w:t xml:space="preserve"> </w:t>
      </w:r>
    </w:p>
    <w:p w14:paraId="251A4AC6" w14:textId="26ED682A" w:rsidR="008A1A51" w:rsidRDefault="00117C8A" w:rsidP="008B776B">
      <w:pPr>
        <w:pStyle w:val="absatzschattenbericht"/>
        <w:rPr>
          <w:lang w:val="de-DE"/>
        </w:rPr>
      </w:pPr>
      <w:r w:rsidRPr="00117C8A">
        <w:rPr>
          <w:b/>
          <w:bCs/>
          <w:lang w:val="de-DE"/>
        </w:rPr>
        <w:t xml:space="preserve">Dass der </w:t>
      </w:r>
      <w:proofErr w:type="spellStart"/>
      <w:r w:rsidRPr="00117C8A">
        <w:rPr>
          <w:b/>
          <w:bCs/>
          <w:lang w:val="de-DE"/>
        </w:rPr>
        <w:t>RefE</w:t>
      </w:r>
      <w:proofErr w:type="spellEnd"/>
      <w:r w:rsidRPr="00117C8A">
        <w:rPr>
          <w:b/>
          <w:bCs/>
          <w:lang w:val="de-DE"/>
        </w:rPr>
        <w:t xml:space="preserve"> solche widerrechtlichen Eingriffe noch </w:t>
      </w:r>
      <w:r>
        <w:rPr>
          <w:b/>
          <w:bCs/>
          <w:lang w:val="de-DE"/>
        </w:rPr>
        <w:t xml:space="preserve">explizit </w:t>
      </w:r>
      <w:r w:rsidRPr="00117C8A">
        <w:rPr>
          <w:b/>
          <w:bCs/>
          <w:lang w:val="de-DE"/>
        </w:rPr>
        <w:t>legalisieren will</w:t>
      </w:r>
      <w:r>
        <w:rPr>
          <w:lang w:val="de-DE"/>
        </w:rPr>
        <w:t>, ist ungeheuerlich.</w:t>
      </w:r>
    </w:p>
    <w:p w14:paraId="35EAE3A7" w14:textId="77777777" w:rsidR="00746909" w:rsidRPr="006C727E" w:rsidRDefault="00746909" w:rsidP="00746909">
      <w:pPr>
        <w:pStyle w:val="absatzschattenbericht"/>
        <w:rPr>
          <w:sz w:val="12"/>
          <w:szCs w:val="12"/>
          <w:lang w:val="de-DE"/>
        </w:rPr>
      </w:pPr>
    </w:p>
    <w:p w14:paraId="2A0BB53A" w14:textId="5334A74A" w:rsidR="0016348A" w:rsidRPr="008A1A51" w:rsidRDefault="0016348A" w:rsidP="0016348A">
      <w:pPr>
        <w:pStyle w:val="Title2"/>
        <w:rPr>
          <w:lang w:val="de-DE"/>
        </w:rPr>
      </w:pPr>
      <w:r w:rsidRPr="008A1A51">
        <w:rPr>
          <w:lang w:val="de-DE"/>
        </w:rPr>
        <w:t>3.</w:t>
      </w:r>
      <w:r w:rsidR="00A007F8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 </w:t>
      </w:r>
      <w:r w:rsidR="002C0970" w:rsidRPr="008A1A51">
        <w:rPr>
          <w:lang w:val="de-DE"/>
        </w:rPr>
        <w:t xml:space="preserve">Unvollständige und selektive Würdigung maßgeblicher </w:t>
      </w:r>
      <w:r w:rsidR="00B95A7F" w:rsidRPr="008A1A51">
        <w:rPr>
          <w:lang w:val="de-DE"/>
        </w:rPr>
        <w:t xml:space="preserve">Rechte, </w:t>
      </w:r>
      <w:r w:rsidR="00B95A7F" w:rsidRPr="008A1A51">
        <w:rPr>
          <w:lang w:val="de-DE"/>
        </w:rPr>
        <w:br/>
        <w:t xml:space="preserve">     </w:t>
      </w:r>
      <w:r w:rsidR="002C0970" w:rsidRPr="008A1A51">
        <w:rPr>
          <w:lang w:val="de-DE"/>
        </w:rPr>
        <w:t xml:space="preserve">insbesondere unabdingbarer </w:t>
      </w:r>
      <w:r w:rsidR="00B95A7F" w:rsidRPr="008A1A51">
        <w:rPr>
          <w:lang w:val="de-DE"/>
        </w:rPr>
        <w:t xml:space="preserve">Grund- und </w:t>
      </w:r>
      <w:r w:rsidR="002C0970" w:rsidRPr="008A1A51">
        <w:rPr>
          <w:lang w:val="de-DE"/>
        </w:rPr>
        <w:t>Menschenrechte</w:t>
      </w:r>
    </w:p>
    <w:p w14:paraId="54B3B9C9" w14:textId="415340DB" w:rsidR="008B776B" w:rsidRDefault="008B776B" w:rsidP="008B776B">
      <w:pPr>
        <w:pStyle w:val="absatzschattenbericht"/>
        <w:rPr>
          <w:lang w:val="de-DE"/>
        </w:rPr>
      </w:pPr>
      <w:r>
        <w:rPr>
          <w:lang w:val="de-DE"/>
        </w:rPr>
        <w:t xml:space="preserve">Ebenso ungeheuerlich ist, wie 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</w:t>
      </w:r>
      <w:r w:rsidRPr="008A1A51">
        <w:rPr>
          <w:b/>
          <w:bCs/>
          <w:lang w:val="de-DE"/>
        </w:rPr>
        <w:t xml:space="preserve">maßgebliche Grund- und Menschenrechte sowie </w:t>
      </w:r>
      <w:r w:rsidR="008A1513">
        <w:rPr>
          <w:b/>
          <w:bCs/>
          <w:lang w:val="de-DE"/>
        </w:rPr>
        <w:br/>
      </w:r>
      <w:r w:rsidRPr="008A1A51">
        <w:rPr>
          <w:b/>
          <w:bCs/>
          <w:lang w:val="de-DE"/>
        </w:rPr>
        <w:t>UN</w:t>
      </w:r>
      <w:r w:rsidR="008A1513">
        <w:rPr>
          <w:b/>
          <w:bCs/>
          <w:lang w:val="de-DE"/>
        </w:rPr>
        <w:t>-</w:t>
      </w:r>
      <w:r w:rsidRPr="008A1A51">
        <w:rPr>
          <w:b/>
          <w:bCs/>
          <w:lang w:val="de-DE"/>
        </w:rPr>
        <w:t>Empfehlungen nur selektiv und unvollständig würdigt</w:t>
      </w:r>
      <w:r w:rsidRPr="008A1A51">
        <w:rPr>
          <w:lang w:val="de-DE"/>
        </w:rPr>
        <w:t xml:space="preserve">, u.a. indem er </w:t>
      </w:r>
      <w:r>
        <w:rPr>
          <w:lang w:val="de-DE"/>
        </w:rPr>
        <w:t xml:space="preserve">durchgehend und </w:t>
      </w:r>
      <w:r w:rsidRPr="008A1A51">
        <w:rPr>
          <w:lang w:val="de-DE"/>
        </w:rPr>
        <w:t xml:space="preserve">einseitig auf ein </w:t>
      </w:r>
      <w:r w:rsidR="003935F0" w:rsidRPr="00871F4E">
        <w:rPr>
          <w:b/>
          <w:bCs/>
          <w:lang w:val="de-DE"/>
        </w:rPr>
        <w:t>nirgends substantiiertes</w:t>
      </w:r>
      <w:r w:rsidRPr="00871F4E">
        <w:rPr>
          <w:b/>
          <w:bCs/>
          <w:lang w:val="de-DE"/>
        </w:rPr>
        <w:t xml:space="preserve"> “Recht des Kindes auf geschlechtliche Selbstbestimmung”</w:t>
      </w:r>
      <w:r w:rsidRPr="008A1A51">
        <w:rPr>
          <w:lang w:val="de-DE"/>
        </w:rPr>
        <w:t xml:space="preserve"> </w:t>
      </w:r>
      <w:r w:rsidR="001B21F5">
        <w:rPr>
          <w:lang w:val="de-DE"/>
        </w:rPr>
        <w:t>(S.</w:t>
      </w:r>
      <w:r w:rsidR="00871F4E">
        <w:rPr>
          <w:lang w:val="de-DE"/>
        </w:rPr>
        <w:t> 10, 11, 21, 22, 23, 24, 26, 27</w:t>
      </w:r>
      <w:r w:rsidR="001B21F5">
        <w:rPr>
          <w:lang w:val="de-DE"/>
        </w:rPr>
        <w:t>)</w:t>
      </w:r>
      <w:r w:rsidR="00871F4E">
        <w:rPr>
          <w:lang w:val="de-DE"/>
        </w:rPr>
        <w:t xml:space="preserve"> </w:t>
      </w:r>
      <w:r w:rsidR="00871F4E" w:rsidRPr="008A1A51">
        <w:rPr>
          <w:lang w:val="de-DE"/>
        </w:rPr>
        <w:t>abstellt</w:t>
      </w:r>
      <w:r w:rsidR="001B21F5">
        <w:rPr>
          <w:lang w:val="de-DE"/>
        </w:rPr>
        <w:t xml:space="preserve">, </w:t>
      </w:r>
      <w:r w:rsidRPr="008A1A51">
        <w:rPr>
          <w:lang w:val="de-DE"/>
        </w:rPr>
        <w:t xml:space="preserve">hingegen die entscheidenden </w:t>
      </w:r>
      <w:r w:rsidRPr="008A1A51">
        <w:rPr>
          <w:b/>
          <w:bCs/>
          <w:lang w:val="de-DE"/>
        </w:rPr>
        <w:t xml:space="preserve">unabdingbaren Menschenrechte </w:t>
      </w:r>
      <w:r w:rsidRPr="008A1A51">
        <w:rPr>
          <w:lang w:val="de-DE"/>
        </w:rPr>
        <w:t>auf Schutz vor</w:t>
      </w:r>
      <w:r w:rsidRPr="008A1A51">
        <w:rPr>
          <w:b/>
          <w:bCs/>
          <w:lang w:val="de-DE"/>
        </w:rPr>
        <w:t xml:space="preserve"> unmenschlicher Behandlung, schädlichen Praktiken </w:t>
      </w:r>
      <w:r w:rsidRPr="008A1A51">
        <w:rPr>
          <w:lang w:val="de-DE"/>
        </w:rPr>
        <w:t>u.a.m.</w:t>
      </w:r>
      <w:r w:rsidR="000F3228">
        <w:rPr>
          <w:lang w:val="de-DE"/>
        </w:rPr>
        <w:t xml:space="preserve"> </w:t>
      </w:r>
      <w:r w:rsidR="000F3228" w:rsidRPr="000F3228">
        <w:rPr>
          <w:b/>
          <w:bCs/>
          <w:lang w:val="de-DE"/>
        </w:rPr>
        <w:t>willkürlich und</w:t>
      </w:r>
      <w:r w:rsidRPr="000F3228">
        <w:rPr>
          <w:b/>
          <w:bCs/>
          <w:lang w:val="de-DE"/>
        </w:rPr>
        <w:t xml:space="preserve"> vollständig</w:t>
      </w:r>
      <w:r w:rsidRPr="008A1A51">
        <w:rPr>
          <w:b/>
          <w:bCs/>
          <w:lang w:val="de-DE"/>
        </w:rPr>
        <w:t xml:space="preserve"> missachtet</w:t>
      </w:r>
      <w:r w:rsidR="008A1513">
        <w:rPr>
          <w:b/>
          <w:bCs/>
          <w:lang w:val="de-DE"/>
        </w:rPr>
        <w:t xml:space="preserve"> </w:t>
      </w:r>
      <w:r w:rsidR="008A1513">
        <w:rPr>
          <w:lang w:val="de-DE"/>
        </w:rPr>
        <w:t xml:space="preserve">– </w:t>
      </w:r>
      <w:r w:rsidR="00BF2B55">
        <w:rPr>
          <w:lang w:val="de-DE"/>
        </w:rPr>
        <w:t xml:space="preserve">sogar noch dort, wo der </w:t>
      </w:r>
      <w:proofErr w:type="spellStart"/>
      <w:r w:rsidR="00BF2B55">
        <w:rPr>
          <w:lang w:val="de-DE"/>
        </w:rPr>
        <w:t>RefE</w:t>
      </w:r>
      <w:proofErr w:type="spellEnd"/>
      <w:r w:rsidR="00BF2B55">
        <w:rPr>
          <w:lang w:val="de-DE"/>
        </w:rPr>
        <w:t xml:space="preserve"> entsprechende </w:t>
      </w:r>
      <w:r w:rsidR="00BF2B55" w:rsidRPr="003B01A4">
        <w:rPr>
          <w:b/>
          <w:bCs/>
          <w:lang w:val="de-DE"/>
        </w:rPr>
        <w:t>UN-</w:t>
      </w:r>
      <w:r w:rsidR="006A35A8" w:rsidRPr="003B01A4">
        <w:rPr>
          <w:b/>
          <w:bCs/>
          <w:lang w:val="de-DE"/>
        </w:rPr>
        <w:t>Rügen</w:t>
      </w:r>
      <w:r w:rsidR="00BF2B55">
        <w:rPr>
          <w:lang w:val="de-DE"/>
        </w:rPr>
        <w:t xml:space="preserve"> </w:t>
      </w:r>
      <w:r w:rsidR="006A35A8">
        <w:rPr>
          <w:lang w:val="de-DE"/>
        </w:rPr>
        <w:t>anspricht</w:t>
      </w:r>
      <w:r w:rsidR="00A60DB3">
        <w:rPr>
          <w:lang w:val="de-DE"/>
        </w:rPr>
        <w:t>:</w:t>
      </w:r>
    </w:p>
    <w:p w14:paraId="688FCB6F" w14:textId="09EFE607" w:rsidR="009007EA" w:rsidRPr="009007EA" w:rsidRDefault="00BA5043" w:rsidP="009007EA">
      <w:pPr>
        <w:pStyle w:val="absatzschattenbericht"/>
        <w:rPr>
          <w:lang w:val="de-CH"/>
        </w:rPr>
      </w:pPr>
      <w:r>
        <w:rPr>
          <w:lang w:val="de-DE"/>
        </w:rPr>
        <w:lastRenderedPageBreak/>
        <w:t xml:space="preserve">Zwar erwähnt 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(S. 9) die jüngsten verbindlichen Empfehlungen des </w:t>
      </w:r>
      <w:r w:rsidRPr="007638E6">
        <w:rPr>
          <w:b/>
          <w:bCs/>
          <w:lang w:val="de-DE"/>
        </w:rPr>
        <w:t>UN-Frauenrechtsausschusses CEDAW</w:t>
      </w:r>
      <w:r w:rsidR="002320E4">
        <w:rPr>
          <w:lang w:val="de-DE"/>
        </w:rPr>
        <w:t xml:space="preserve"> an Deutschland </w:t>
      </w:r>
      <w:r w:rsidR="009F6FFE">
        <w:rPr>
          <w:lang w:val="de-DE"/>
        </w:rPr>
        <w:t xml:space="preserve">von 2017 </w:t>
      </w:r>
      <w:r w:rsidR="002320E4">
        <w:rPr>
          <w:lang w:val="de-DE"/>
        </w:rPr>
        <w:t>(</w:t>
      </w:r>
      <w:r w:rsidR="002320E4" w:rsidRPr="002320E4">
        <w:rPr>
          <w:lang w:val="de-CH"/>
        </w:rPr>
        <w:t>CEDAW/C/DEU/CO/7-8</w:t>
      </w:r>
      <w:r w:rsidR="002320E4">
        <w:rPr>
          <w:lang w:val="de-CH"/>
        </w:rPr>
        <w:t>, Abs. 23-24</w:t>
      </w:r>
      <w:r w:rsidR="002320E4">
        <w:rPr>
          <w:lang w:val="de-DE"/>
        </w:rPr>
        <w:t>)</w:t>
      </w:r>
      <w:r w:rsidR="00F11832">
        <w:rPr>
          <w:lang w:val="de-DE"/>
        </w:rPr>
        <w:t>. Jedoch</w:t>
      </w:r>
      <w:r w:rsidR="007638E6">
        <w:rPr>
          <w:lang w:val="de-DE"/>
        </w:rPr>
        <w:t xml:space="preserve"> nennt </w:t>
      </w:r>
      <w:r w:rsidR="00F11832">
        <w:rPr>
          <w:lang w:val="de-DE"/>
        </w:rPr>
        <w:t xml:space="preserve">der </w:t>
      </w:r>
      <w:proofErr w:type="spellStart"/>
      <w:r w:rsidR="00F11832">
        <w:rPr>
          <w:lang w:val="de-DE"/>
        </w:rPr>
        <w:t>RefE</w:t>
      </w:r>
      <w:proofErr w:type="spellEnd"/>
      <w:r w:rsidR="00F11832">
        <w:rPr>
          <w:lang w:val="de-DE"/>
        </w:rPr>
        <w:t xml:space="preserve"> bezeichnenderweise</w:t>
      </w:r>
      <w:r w:rsidR="007638E6">
        <w:rPr>
          <w:lang w:val="de-DE"/>
        </w:rPr>
        <w:t xml:space="preserve"> </w:t>
      </w:r>
      <w:r w:rsidR="007638E6" w:rsidRPr="007638E6">
        <w:rPr>
          <w:b/>
          <w:bCs/>
          <w:lang w:val="de-DE"/>
        </w:rPr>
        <w:t>keine einzige</w:t>
      </w:r>
      <w:r w:rsidR="007638E6">
        <w:rPr>
          <w:lang w:val="de-DE"/>
        </w:rPr>
        <w:t xml:space="preserve"> der verbindlichen Empfehlungen, noch dass der Ausschuss IGM in Deutschland als eine </w:t>
      </w:r>
      <w:r w:rsidR="007638E6" w:rsidRPr="007638E6">
        <w:rPr>
          <w:b/>
          <w:bCs/>
          <w:lang w:val="de-DE"/>
        </w:rPr>
        <w:t xml:space="preserve">schädliche kulturelle Praxis </w:t>
      </w:r>
      <w:r w:rsidR="007638E6">
        <w:rPr>
          <w:lang w:val="de-DE"/>
        </w:rPr>
        <w:t>einstufte (</w:t>
      </w:r>
      <w:r w:rsidR="007638E6" w:rsidRPr="007151DE">
        <w:rPr>
          <w:b/>
          <w:bCs/>
          <w:lang w:val="de-DE"/>
        </w:rPr>
        <w:t>CEDAW Art. 5</w:t>
      </w:r>
      <w:r w:rsidR="00ED27DF">
        <w:rPr>
          <w:lang w:val="de-DE"/>
        </w:rPr>
        <w:t xml:space="preserve"> in Verbindung mit der </w:t>
      </w:r>
      <w:r w:rsidR="00ED27DF" w:rsidRPr="007151DE">
        <w:rPr>
          <w:b/>
          <w:bCs/>
          <w:lang w:val="de-DE"/>
        </w:rPr>
        <w:t>CEDAW-CRC gemeinsamen allgemeinen Empfehlung/Kommentar Nr. 31/18 “zu schädlichen Praktiken”</w:t>
      </w:r>
      <w:r w:rsidR="007638E6">
        <w:rPr>
          <w:lang w:val="de-DE"/>
        </w:rPr>
        <w:t>)</w:t>
      </w:r>
      <w:r w:rsidR="00F11832">
        <w:rPr>
          <w:lang w:val="de-DE"/>
        </w:rPr>
        <w:t xml:space="preserve">. </w:t>
      </w:r>
      <w:r w:rsidR="009007EA" w:rsidRPr="009007EA">
        <w:rPr>
          <w:lang w:val="de-CH"/>
        </w:rPr>
        <w:t xml:space="preserve">Unter anderem </w:t>
      </w:r>
      <w:r w:rsidR="009007EA" w:rsidRPr="009007EA">
        <w:rPr>
          <w:b/>
          <w:bCs/>
          <w:lang w:val="de-CH"/>
        </w:rPr>
        <w:t>verpflichtet</w:t>
      </w:r>
      <w:r w:rsidR="009007EA">
        <w:rPr>
          <w:b/>
          <w:bCs/>
          <w:lang w:val="de-CH"/>
        </w:rPr>
        <w:t>e</w:t>
      </w:r>
      <w:r w:rsidR="009007EA" w:rsidRPr="009007EA">
        <w:rPr>
          <w:b/>
          <w:bCs/>
          <w:lang w:val="de-CH"/>
        </w:rPr>
        <w:t xml:space="preserve"> CEDAW Deutschland verbindlich,</w:t>
      </w:r>
      <w:r w:rsidR="009007EA" w:rsidRPr="008A1A51">
        <w:rPr>
          <w:rStyle w:val="Funotenzeichen"/>
          <w:lang w:val="de-DE"/>
        </w:rPr>
        <w:footnoteReference w:id="7"/>
      </w:r>
    </w:p>
    <w:p w14:paraId="6F7C60A0" w14:textId="1736CDD1" w:rsidR="009007EA" w:rsidRPr="009007EA" w:rsidRDefault="009007EA" w:rsidP="009007EA">
      <w:pPr>
        <w:pStyle w:val="absatzschattenbericht"/>
        <w:numPr>
          <w:ilvl w:val="0"/>
          <w:numId w:val="20"/>
        </w:numPr>
        <w:rPr>
          <w:lang w:val="de-CH"/>
        </w:rPr>
      </w:pPr>
      <w:r w:rsidRPr="009007EA">
        <w:rPr>
          <w:b/>
          <w:bCs/>
          <w:i/>
          <w:iCs/>
          <w:lang w:val="de-CH"/>
        </w:rPr>
        <w:t>“eindeutige gesetzliche Bestimmungen zu verabschieden”</w:t>
      </w:r>
      <w:r w:rsidRPr="009007EA">
        <w:rPr>
          <w:lang w:val="de-CH"/>
        </w:rPr>
        <w:t xml:space="preserve">, die </w:t>
      </w:r>
      <w:r w:rsidRPr="009007EA">
        <w:rPr>
          <w:b/>
          <w:bCs/>
          <w:i/>
          <w:iCs/>
          <w:lang w:val="de-CH"/>
        </w:rPr>
        <w:t>“unnötige chirurgische oder andere medizinische Behandlungen an Intersex-Kindern”</w:t>
      </w:r>
      <w:r>
        <w:rPr>
          <w:b/>
          <w:bCs/>
          <w:i/>
          <w:iCs/>
          <w:lang w:val="de-CH"/>
        </w:rPr>
        <w:t xml:space="preserve"> </w:t>
      </w:r>
      <w:r w:rsidRPr="009007EA">
        <w:rPr>
          <w:b/>
          <w:bCs/>
          <w:lang w:val="de-CH"/>
        </w:rPr>
        <w:t xml:space="preserve">ohne </w:t>
      </w:r>
      <w:r w:rsidRPr="009007EA">
        <w:rPr>
          <w:b/>
          <w:bCs/>
          <w:i/>
          <w:iCs/>
          <w:lang w:val="de-CH"/>
        </w:rPr>
        <w:t>“informierte Zustimmung” “ausdrücklich verbieten”</w:t>
      </w:r>
      <w:r w:rsidRPr="009007EA">
        <w:rPr>
          <w:lang w:val="de-CH"/>
        </w:rPr>
        <w:t xml:space="preserve"> (</w:t>
      </w:r>
      <w:r w:rsidR="006E54B6">
        <w:rPr>
          <w:lang w:val="de-CH"/>
        </w:rPr>
        <w:t>Abs.</w:t>
      </w:r>
      <w:r w:rsidRPr="009007EA">
        <w:rPr>
          <w:lang w:val="de-CH"/>
        </w:rPr>
        <w:t xml:space="preserve"> 24(d))</w:t>
      </w:r>
    </w:p>
    <w:p w14:paraId="1193CB45" w14:textId="6B362BDA" w:rsidR="009007EA" w:rsidRPr="009007EA" w:rsidRDefault="009007EA" w:rsidP="009007EA">
      <w:pPr>
        <w:pStyle w:val="absatzschattenbericht"/>
        <w:numPr>
          <w:ilvl w:val="0"/>
          <w:numId w:val="20"/>
        </w:numPr>
        <w:rPr>
          <w:lang w:val="de-CH"/>
        </w:rPr>
      </w:pPr>
      <w:r w:rsidRPr="009007EA">
        <w:rPr>
          <w:lang w:val="de-CH"/>
        </w:rPr>
        <w:t xml:space="preserve">IGM-Überlebenden </w:t>
      </w:r>
      <w:r w:rsidRPr="009007EA">
        <w:rPr>
          <w:b/>
          <w:bCs/>
          <w:i/>
          <w:iCs/>
          <w:lang w:val="de-CH"/>
        </w:rPr>
        <w:t>“effektiven Zugang zur Justiz gewährleisten, einschließlich durch Anpassung der Verjährungsfristen”</w:t>
      </w:r>
      <w:r w:rsidRPr="009007EA">
        <w:rPr>
          <w:lang w:val="de-CH"/>
        </w:rPr>
        <w:t xml:space="preserve"> (</w:t>
      </w:r>
      <w:r w:rsidR="006E54B6">
        <w:rPr>
          <w:lang w:val="de-CH"/>
        </w:rPr>
        <w:t>Abs.</w:t>
      </w:r>
      <w:r w:rsidRPr="009007EA">
        <w:rPr>
          <w:lang w:val="de-CH"/>
        </w:rPr>
        <w:t xml:space="preserve"> 24(e))</w:t>
      </w:r>
    </w:p>
    <w:p w14:paraId="6DE9D454" w14:textId="3C4C0746" w:rsidR="009007EA" w:rsidRPr="009007EA" w:rsidRDefault="009007EA" w:rsidP="009007EA">
      <w:pPr>
        <w:pStyle w:val="absatzschattenbericht"/>
        <w:numPr>
          <w:ilvl w:val="0"/>
          <w:numId w:val="20"/>
        </w:numPr>
        <w:rPr>
          <w:lang w:val="de-CH"/>
        </w:rPr>
      </w:pPr>
      <w:r w:rsidRPr="009007EA">
        <w:rPr>
          <w:b/>
          <w:bCs/>
          <w:i/>
          <w:iCs/>
          <w:lang w:val="de-CH"/>
        </w:rPr>
        <w:t>“Familien mit Intersex-Kindern angemessene Beratung und Unterstützung anzubieten”</w:t>
      </w:r>
      <w:r w:rsidRPr="009007EA">
        <w:rPr>
          <w:lang w:val="de-CH"/>
        </w:rPr>
        <w:t xml:space="preserve"> (</w:t>
      </w:r>
      <w:r w:rsidR="006E54B6">
        <w:rPr>
          <w:lang w:val="de-CH"/>
        </w:rPr>
        <w:t>Abs.</w:t>
      </w:r>
      <w:r w:rsidRPr="009007EA">
        <w:rPr>
          <w:lang w:val="de-CH"/>
        </w:rPr>
        <w:t xml:space="preserve"> 24(d))</w:t>
      </w:r>
    </w:p>
    <w:p w14:paraId="3E83988C" w14:textId="7448696A" w:rsidR="009007EA" w:rsidRPr="009007EA" w:rsidRDefault="009007EA" w:rsidP="009007EA">
      <w:pPr>
        <w:pStyle w:val="absatzschattenbericht"/>
        <w:numPr>
          <w:ilvl w:val="0"/>
          <w:numId w:val="20"/>
        </w:numPr>
        <w:rPr>
          <w:lang w:val="de-CH"/>
        </w:rPr>
      </w:pPr>
      <w:r w:rsidRPr="009007EA">
        <w:rPr>
          <w:b/>
          <w:bCs/>
          <w:i/>
          <w:iCs/>
          <w:lang w:val="de-CH"/>
        </w:rPr>
        <w:t>“einen staatlichen Entschädigungsfonds einzurichten”</w:t>
      </w:r>
      <w:r w:rsidRPr="009007EA">
        <w:rPr>
          <w:lang w:val="de-CH"/>
        </w:rPr>
        <w:t xml:space="preserve"> (</w:t>
      </w:r>
      <w:r w:rsidR="006E54B6">
        <w:rPr>
          <w:lang w:val="de-CH"/>
        </w:rPr>
        <w:t>Abs.</w:t>
      </w:r>
      <w:r w:rsidRPr="009007EA">
        <w:rPr>
          <w:lang w:val="de-CH"/>
        </w:rPr>
        <w:t xml:space="preserve"> 24(e))</w:t>
      </w:r>
    </w:p>
    <w:p w14:paraId="6ACCDEE3" w14:textId="7D4E1CAB" w:rsidR="00D62C04" w:rsidRPr="009007EA" w:rsidRDefault="004B47CA" w:rsidP="008D5A5D">
      <w:pPr>
        <w:pStyle w:val="absatzschattenbericht"/>
        <w:rPr>
          <w:lang w:val="de-CH"/>
        </w:rPr>
      </w:pPr>
      <w:r>
        <w:rPr>
          <w:lang w:val="de-CH"/>
        </w:rPr>
        <w:t xml:space="preserve">Gleich </w:t>
      </w:r>
      <w:r w:rsidRPr="000C63B9">
        <w:rPr>
          <w:b/>
          <w:bCs/>
          <w:lang w:val="de-CH"/>
        </w:rPr>
        <w:t>komplett unterschlug</w:t>
      </w:r>
      <w:r>
        <w:rPr>
          <w:lang w:val="de-CH"/>
        </w:rPr>
        <w:t xml:space="preserve"> der </w:t>
      </w:r>
      <w:proofErr w:type="spellStart"/>
      <w:r>
        <w:rPr>
          <w:lang w:val="de-CH"/>
        </w:rPr>
        <w:t>RefE</w:t>
      </w:r>
      <w:proofErr w:type="spellEnd"/>
      <w:r>
        <w:rPr>
          <w:lang w:val="de-CH"/>
        </w:rPr>
        <w:t xml:space="preserve"> </w:t>
      </w:r>
      <w:r w:rsidR="00D62C04">
        <w:rPr>
          <w:lang w:val="de-CH"/>
        </w:rPr>
        <w:t xml:space="preserve">die verbindlichen Empfehlungen des </w:t>
      </w:r>
      <w:r w:rsidR="00D62C04" w:rsidRPr="00D62C04">
        <w:rPr>
          <w:b/>
          <w:bCs/>
          <w:lang w:val="de-CH"/>
        </w:rPr>
        <w:t xml:space="preserve">UN-Ausschusses gegen Folter CAT </w:t>
      </w:r>
      <w:r w:rsidR="00D62C04">
        <w:rPr>
          <w:lang w:val="de-CH"/>
        </w:rPr>
        <w:t>an Deutschland von 2011 (</w:t>
      </w:r>
      <w:r w:rsidR="00D62C04" w:rsidRPr="00D62C04">
        <w:rPr>
          <w:lang w:val="de-CH"/>
        </w:rPr>
        <w:t>CAT/C/DEU/CO/5</w:t>
      </w:r>
      <w:r w:rsidR="00D62C04">
        <w:rPr>
          <w:lang w:val="de-CH"/>
        </w:rPr>
        <w:t xml:space="preserve">, </w:t>
      </w:r>
      <w:r w:rsidR="00A62E04">
        <w:rPr>
          <w:lang w:val="de-CH"/>
        </w:rPr>
        <w:t>Abs.</w:t>
      </w:r>
      <w:r w:rsidR="00D62C04">
        <w:rPr>
          <w:lang w:val="de-CH"/>
        </w:rPr>
        <w:t xml:space="preserve"> 20), </w:t>
      </w:r>
      <w:r w:rsidR="00D62C04">
        <w:rPr>
          <w:lang w:val="de-DE"/>
        </w:rPr>
        <w:t xml:space="preserve">der IGM in Deutschland als eine </w:t>
      </w:r>
      <w:r w:rsidR="00D62C04">
        <w:rPr>
          <w:b/>
          <w:bCs/>
          <w:lang w:val="de-DE"/>
        </w:rPr>
        <w:t>grausame, unmenschliche oder erniedrigende Behandlung</w:t>
      </w:r>
      <w:r w:rsidR="00D62C04" w:rsidRPr="007638E6">
        <w:rPr>
          <w:b/>
          <w:bCs/>
          <w:lang w:val="de-DE"/>
        </w:rPr>
        <w:t xml:space="preserve"> </w:t>
      </w:r>
      <w:r w:rsidR="00D62C04">
        <w:rPr>
          <w:lang w:val="de-DE"/>
        </w:rPr>
        <w:t xml:space="preserve">einstufte, unter Verweis auf CAT Art. 2, 10, 12, 14 und 16. </w:t>
      </w:r>
      <w:r w:rsidR="00D62C04" w:rsidRPr="009007EA">
        <w:rPr>
          <w:lang w:val="de-CH"/>
        </w:rPr>
        <w:t xml:space="preserve">Unter anderem </w:t>
      </w:r>
      <w:r w:rsidR="00D62C04" w:rsidRPr="009007EA">
        <w:rPr>
          <w:b/>
          <w:bCs/>
          <w:lang w:val="de-CH"/>
        </w:rPr>
        <w:t>verpflichtet</w:t>
      </w:r>
      <w:r w:rsidR="00D62C04">
        <w:rPr>
          <w:b/>
          <w:bCs/>
          <w:lang w:val="de-CH"/>
        </w:rPr>
        <w:t>e</w:t>
      </w:r>
      <w:r w:rsidR="00D62C04" w:rsidRPr="009007EA">
        <w:rPr>
          <w:b/>
          <w:bCs/>
          <w:lang w:val="de-CH"/>
        </w:rPr>
        <w:t xml:space="preserve"> </w:t>
      </w:r>
      <w:r w:rsidR="008D5A5D">
        <w:rPr>
          <w:b/>
          <w:bCs/>
          <w:lang w:val="de-CH"/>
        </w:rPr>
        <w:t>CAT</w:t>
      </w:r>
      <w:r w:rsidR="00D62C04" w:rsidRPr="009007EA">
        <w:rPr>
          <w:b/>
          <w:bCs/>
          <w:lang w:val="de-CH"/>
        </w:rPr>
        <w:t xml:space="preserve"> Deutschland verbindlich,</w:t>
      </w:r>
      <w:r w:rsidR="00D62C04" w:rsidRPr="008A1A51">
        <w:rPr>
          <w:rStyle w:val="Funotenzeichen"/>
          <w:lang w:val="de-DE"/>
        </w:rPr>
        <w:footnoteReference w:id="8"/>
      </w:r>
    </w:p>
    <w:p w14:paraId="368C9630" w14:textId="072A06E0" w:rsidR="0086514F" w:rsidRPr="0086514F" w:rsidRDefault="0086514F" w:rsidP="0086514F">
      <w:pPr>
        <w:pStyle w:val="absatzschattenbericht"/>
        <w:numPr>
          <w:ilvl w:val="0"/>
          <w:numId w:val="21"/>
        </w:numPr>
        <w:rPr>
          <w:lang w:val="de-CH"/>
        </w:rPr>
      </w:pPr>
      <w:r>
        <w:rPr>
          <w:b/>
          <w:bCs/>
          <w:i/>
          <w:iCs/>
          <w:lang w:val="de-CH"/>
        </w:rPr>
        <w:t>“</w:t>
      </w:r>
      <w:r w:rsidRPr="0086514F">
        <w:rPr>
          <w:b/>
          <w:bCs/>
          <w:i/>
          <w:iCs/>
          <w:lang w:val="de-CH"/>
        </w:rPr>
        <w:t>Vorfälle, in denen intersexuelle Menschen ohne wirksame Einverständniserklärung chirurgisch oder anderweitig medizinisch behandelt wurden, zu untersuchen, und Rechtsvorschriften zu erlassen, die den Opfern solcher Behandlungen Rechtsschutzmöglichkeiten, einschließlich angemessener Entschädigungen, gewähren</w:t>
      </w:r>
      <w:r>
        <w:rPr>
          <w:b/>
          <w:bCs/>
          <w:i/>
          <w:iCs/>
          <w:lang w:val="de-CH"/>
        </w:rPr>
        <w:t xml:space="preserve">” </w:t>
      </w:r>
      <w:r>
        <w:rPr>
          <w:lang w:val="de-CH"/>
        </w:rPr>
        <w:t>(</w:t>
      </w:r>
      <w:r w:rsidR="00670370">
        <w:rPr>
          <w:lang w:val="de-CH"/>
        </w:rPr>
        <w:t>Abs.</w:t>
      </w:r>
      <w:r>
        <w:rPr>
          <w:lang w:val="de-CH"/>
        </w:rPr>
        <w:t xml:space="preserve"> 20(b))</w:t>
      </w:r>
    </w:p>
    <w:p w14:paraId="11897EC7" w14:textId="08FE3052" w:rsidR="0025579A" w:rsidRDefault="00A62E04" w:rsidP="00A62E04">
      <w:pPr>
        <w:pStyle w:val="absatzschattenbericht"/>
        <w:rPr>
          <w:lang w:val="de-DE"/>
        </w:rPr>
      </w:pPr>
      <w:r>
        <w:rPr>
          <w:lang w:val="de-CH"/>
        </w:rPr>
        <w:t xml:space="preserve">Ebenfalls </w:t>
      </w:r>
      <w:r w:rsidRPr="000C63B9">
        <w:rPr>
          <w:b/>
          <w:bCs/>
          <w:lang w:val="de-CH"/>
        </w:rPr>
        <w:t>komplett unterschlug</w:t>
      </w:r>
      <w:r>
        <w:rPr>
          <w:lang w:val="de-CH"/>
        </w:rPr>
        <w:t xml:space="preserve"> der </w:t>
      </w:r>
      <w:proofErr w:type="spellStart"/>
      <w:r>
        <w:rPr>
          <w:lang w:val="de-CH"/>
        </w:rPr>
        <w:t>RefE</w:t>
      </w:r>
      <w:proofErr w:type="spellEnd"/>
      <w:r>
        <w:rPr>
          <w:lang w:val="de-CH"/>
        </w:rPr>
        <w:t xml:space="preserve"> die verbindlichen Empfehlungen des </w:t>
      </w:r>
      <w:r w:rsidR="000C63B9">
        <w:rPr>
          <w:lang w:val="de-CH"/>
        </w:rPr>
        <w:br/>
      </w:r>
      <w:r w:rsidRPr="00D62C04">
        <w:rPr>
          <w:b/>
          <w:bCs/>
          <w:lang w:val="de-CH"/>
        </w:rPr>
        <w:t>UN-</w:t>
      </w:r>
      <w:r>
        <w:rPr>
          <w:b/>
          <w:bCs/>
          <w:lang w:val="de-CH"/>
        </w:rPr>
        <w:t xml:space="preserve">Behindertenrechtsausschusses </w:t>
      </w:r>
      <w:r w:rsidRPr="00D62C04">
        <w:rPr>
          <w:b/>
          <w:bCs/>
          <w:lang w:val="de-CH"/>
        </w:rPr>
        <w:t>C</w:t>
      </w:r>
      <w:r>
        <w:rPr>
          <w:b/>
          <w:bCs/>
          <w:lang w:val="de-CH"/>
        </w:rPr>
        <w:t>RPD</w:t>
      </w:r>
      <w:r w:rsidRPr="00D62C04">
        <w:rPr>
          <w:b/>
          <w:bCs/>
          <w:lang w:val="de-CH"/>
        </w:rPr>
        <w:t xml:space="preserve"> </w:t>
      </w:r>
      <w:r>
        <w:rPr>
          <w:lang w:val="de-CH"/>
        </w:rPr>
        <w:t>an Deutschland von 2015 (</w:t>
      </w:r>
      <w:r w:rsidRPr="00A62E04">
        <w:rPr>
          <w:lang w:val="de-CH"/>
        </w:rPr>
        <w:t>CRPD/C/DEU/CO/1</w:t>
      </w:r>
      <w:r>
        <w:rPr>
          <w:lang w:val="de-CH"/>
        </w:rPr>
        <w:t>, Abs. 37</w:t>
      </w:r>
      <w:r w:rsidR="0024212D">
        <w:rPr>
          <w:lang w:val="de-CH"/>
        </w:rPr>
        <w:t>-</w:t>
      </w:r>
      <w:r>
        <w:rPr>
          <w:lang w:val="de-CH"/>
        </w:rPr>
        <w:t xml:space="preserve">38), </w:t>
      </w:r>
      <w:r>
        <w:rPr>
          <w:lang w:val="de-DE"/>
        </w:rPr>
        <w:t xml:space="preserve">der </w:t>
      </w:r>
      <w:r w:rsidR="00821F49">
        <w:rPr>
          <w:lang w:val="de-DE"/>
        </w:rPr>
        <w:t xml:space="preserve">sich seinerseits die obigen verbindlichen </w:t>
      </w:r>
      <w:r w:rsidR="00821F49" w:rsidRPr="000C63B9">
        <w:rPr>
          <w:b/>
          <w:bCs/>
          <w:lang w:val="de-DE"/>
        </w:rPr>
        <w:t>CAT-Empfehlungen zu eigen machte</w:t>
      </w:r>
      <w:r w:rsidR="00821F49">
        <w:rPr>
          <w:lang w:val="de-DE"/>
        </w:rPr>
        <w:t xml:space="preserve"> und unter Verweis auf CRPD Art. 17 </w:t>
      </w:r>
      <w:r w:rsidR="00821F49" w:rsidRPr="000C63B9">
        <w:rPr>
          <w:b/>
          <w:bCs/>
          <w:lang w:val="de-DE"/>
        </w:rPr>
        <w:t>“Schutz der Unversehrtheit der Person”</w:t>
      </w:r>
      <w:r w:rsidR="00821F49">
        <w:rPr>
          <w:lang w:val="de-DE"/>
        </w:rPr>
        <w:t xml:space="preserve"> </w:t>
      </w:r>
      <w:r w:rsidR="00821F49" w:rsidRPr="00821F49">
        <w:rPr>
          <w:b/>
          <w:bCs/>
          <w:lang w:val="de-DE"/>
        </w:rPr>
        <w:t>Deutschland verbindlich verpflichtete,</w:t>
      </w:r>
      <w:r w:rsidR="00821F49" w:rsidRPr="008A1A51">
        <w:rPr>
          <w:rStyle w:val="Funotenzeichen"/>
          <w:lang w:val="de-DE"/>
        </w:rPr>
        <w:footnoteReference w:id="9"/>
      </w:r>
    </w:p>
    <w:p w14:paraId="5237F608" w14:textId="387CB685" w:rsidR="0016348A" w:rsidRPr="005840E4" w:rsidRDefault="00A62E04" w:rsidP="003256AF">
      <w:pPr>
        <w:pStyle w:val="absatzschattenbericht"/>
        <w:numPr>
          <w:ilvl w:val="0"/>
          <w:numId w:val="21"/>
        </w:numPr>
        <w:rPr>
          <w:b/>
          <w:bCs/>
          <w:lang w:val="de-DE"/>
        </w:rPr>
      </w:pPr>
      <w:r w:rsidRPr="005840E4">
        <w:rPr>
          <w:b/>
          <w:bCs/>
          <w:i/>
          <w:iCs/>
          <w:lang w:val="de-CH"/>
        </w:rPr>
        <w:t>“</w:t>
      </w:r>
      <w:r w:rsidR="004E23D1" w:rsidRPr="005840E4">
        <w:rPr>
          <w:b/>
          <w:bCs/>
          <w:i/>
          <w:iCs/>
          <w:lang w:val="de-CH"/>
        </w:rPr>
        <w:t xml:space="preserve">die notwendigen Maßnahmen, einschließlich gesetzgeberischer Art zu treffen” </w:t>
      </w:r>
      <w:r w:rsidR="004E23D1" w:rsidRPr="005840E4">
        <w:rPr>
          <w:b/>
          <w:bCs/>
          <w:lang w:val="de-CH"/>
        </w:rPr>
        <w:t>um die CAT-Empfehlungen umzusetzen</w:t>
      </w:r>
      <w:r w:rsidR="005840E4">
        <w:rPr>
          <w:b/>
          <w:bCs/>
          <w:lang w:val="de-CH"/>
        </w:rPr>
        <w:t xml:space="preserve"> </w:t>
      </w:r>
      <w:r w:rsidR="005840E4">
        <w:rPr>
          <w:lang w:val="de-CH"/>
        </w:rPr>
        <w:t>(Abs. 38(d))</w:t>
      </w:r>
    </w:p>
    <w:p w14:paraId="29B050A5" w14:textId="72366E1E" w:rsidR="002D50D1" w:rsidRDefault="002D50D1" w:rsidP="002D50D1">
      <w:pPr>
        <w:pStyle w:val="absatzschattenbericht"/>
        <w:rPr>
          <w:lang w:val="de-DE"/>
        </w:rPr>
      </w:pPr>
      <w:r>
        <w:rPr>
          <w:lang w:val="de-CH"/>
        </w:rPr>
        <w:t xml:space="preserve">Ebenfalls </w:t>
      </w:r>
      <w:r w:rsidRPr="000C63B9">
        <w:rPr>
          <w:b/>
          <w:bCs/>
          <w:lang w:val="de-CH"/>
        </w:rPr>
        <w:t>komplett unterschlug</w:t>
      </w:r>
      <w:r>
        <w:rPr>
          <w:lang w:val="de-CH"/>
        </w:rPr>
        <w:t xml:space="preserve"> der </w:t>
      </w:r>
      <w:proofErr w:type="spellStart"/>
      <w:r>
        <w:rPr>
          <w:lang w:val="de-CH"/>
        </w:rPr>
        <w:t>RefE</w:t>
      </w:r>
      <w:proofErr w:type="spellEnd"/>
      <w:r>
        <w:rPr>
          <w:lang w:val="de-CH"/>
        </w:rPr>
        <w:t xml:space="preserve"> die laufende Untersuchung des </w:t>
      </w:r>
      <w:r>
        <w:rPr>
          <w:lang w:val="de-CH"/>
        </w:rPr>
        <w:br/>
      </w:r>
      <w:r w:rsidRPr="002D50D1">
        <w:rPr>
          <w:b/>
          <w:bCs/>
          <w:lang w:val="de-CH"/>
        </w:rPr>
        <w:t>UN-Menschenrechtsausschusses</w:t>
      </w:r>
      <w:r>
        <w:rPr>
          <w:lang w:val="de-CH"/>
        </w:rPr>
        <w:t xml:space="preserve"> als Vertragsorgan über die Umsetzung des </w:t>
      </w:r>
      <w:r w:rsidRPr="002D50D1">
        <w:rPr>
          <w:b/>
          <w:bCs/>
          <w:lang w:val="de-CH"/>
        </w:rPr>
        <w:t>Zivilpakts CCPR</w:t>
      </w:r>
      <w:r>
        <w:rPr>
          <w:b/>
          <w:bCs/>
          <w:lang w:val="de-CH"/>
        </w:rPr>
        <w:t xml:space="preserve"> </w:t>
      </w:r>
      <w:r>
        <w:rPr>
          <w:lang w:val="de-CH"/>
        </w:rPr>
        <w:t>(</w:t>
      </w:r>
      <w:r w:rsidRPr="00FE1545">
        <w:rPr>
          <w:lang w:val="de-CH"/>
        </w:rPr>
        <w:t>CCPR/C/DEU/QPR/7</w:t>
      </w:r>
      <w:r>
        <w:rPr>
          <w:lang w:val="de-CH"/>
        </w:rPr>
        <w:t xml:space="preserve">, Abs. 13), </w:t>
      </w:r>
      <w:r>
        <w:rPr>
          <w:lang w:val="de-DE"/>
        </w:rPr>
        <w:t xml:space="preserve">der 2018 IGM in Deutschland als eine </w:t>
      </w:r>
      <w:r>
        <w:rPr>
          <w:b/>
          <w:bCs/>
          <w:lang w:val="de-DE"/>
        </w:rPr>
        <w:t>grausame, unmenschliche oder erniedrigende Behandlung</w:t>
      </w:r>
      <w:r w:rsidRPr="007638E6">
        <w:rPr>
          <w:b/>
          <w:bCs/>
          <w:lang w:val="de-DE"/>
        </w:rPr>
        <w:t xml:space="preserve"> </w:t>
      </w:r>
      <w:r>
        <w:rPr>
          <w:lang w:val="de-DE"/>
        </w:rPr>
        <w:t xml:space="preserve">sowie </w:t>
      </w:r>
      <w:proofErr w:type="spellStart"/>
      <w:r>
        <w:rPr>
          <w:b/>
          <w:bCs/>
          <w:lang w:val="de-DE"/>
        </w:rPr>
        <w:t>uneingewilligte</w:t>
      </w:r>
      <w:proofErr w:type="spellEnd"/>
      <w:r>
        <w:rPr>
          <w:b/>
          <w:bCs/>
          <w:lang w:val="de-DE"/>
        </w:rPr>
        <w:t xml:space="preserve"> medizinische oder wissenschaftliche Experimente </w:t>
      </w:r>
      <w:r>
        <w:rPr>
          <w:lang w:val="de-DE"/>
        </w:rPr>
        <w:t xml:space="preserve">einstufte, und unter Verweis auf CCPR Art. 7, 9, 17, 24, 26 </w:t>
      </w:r>
      <w:r w:rsidR="00620FD8">
        <w:rPr>
          <w:lang w:val="de-DE"/>
        </w:rPr>
        <w:lastRenderedPageBreak/>
        <w:t>Deutschland schriftliche Fragen vorlegte über</w:t>
      </w:r>
    </w:p>
    <w:p w14:paraId="2D2B709B" w14:textId="6BE57BB1" w:rsidR="00620FD8" w:rsidRDefault="00620FD8" w:rsidP="00620FD8">
      <w:pPr>
        <w:pStyle w:val="absatzschattenbericht"/>
        <w:numPr>
          <w:ilvl w:val="0"/>
          <w:numId w:val="21"/>
        </w:num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“</w:t>
      </w:r>
      <w:r w:rsidRPr="00620FD8">
        <w:rPr>
          <w:b/>
          <w:bCs/>
          <w:i/>
          <w:iCs/>
          <w:lang w:val="de-DE"/>
        </w:rPr>
        <w:t>nicht dringende, invasive und irreversible chirurgische oder andere medizinische Behandlungen, die an Säuglingen und Kindern mit Variationen der Geschlechtsmerkmale (Intersex) durchgeführt wurden</w:t>
      </w:r>
      <w:r>
        <w:rPr>
          <w:b/>
          <w:bCs/>
          <w:i/>
          <w:iCs/>
          <w:lang w:val="de-DE"/>
        </w:rPr>
        <w:t xml:space="preserve">, </w:t>
      </w:r>
      <w:r w:rsidRPr="00620FD8">
        <w:rPr>
          <w:b/>
          <w:bCs/>
          <w:i/>
          <w:iCs/>
          <w:lang w:val="de-DE"/>
        </w:rPr>
        <w:t>einschließlich sterilisierender, feminisierender und vermännlichender Verfahren, ohne vollständig informierte, vorh</w:t>
      </w:r>
      <w:r w:rsidR="00731BA8">
        <w:rPr>
          <w:b/>
          <w:bCs/>
          <w:i/>
          <w:iCs/>
          <w:lang w:val="de-DE"/>
        </w:rPr>
        <w:t>erige und kostenlose Zustimmung</w:t>
      </w:r>
      <w:r>
        <w:rPr>
          <w:b/>
          <w:bCs/>
          <w:i/>
          <w:iCs/>
          <w:lang w:val="de-DE"/>
        </w:rPr>
        <w:t>”</w:t>
      </w:r>
    </w:p>
    <w:p w14:paraId="034DB0A5" w14:textId="56CEC0DA" w:rsidR="00620FD8" w:rsidRDefault="00620FD8" w:rsidP="006135C6">
      <w:pPr>
        <w:pStyle w:val="absatzschattenbericht"/>
        <w:numPr>
          <w:ilvl w:val="0"/>
          <w:numId w:val="21"/>
        </w:numPr>
        <w:spacing w:after="40"/>
        <w:ind w:left="714" w:hanging="357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“</w:t>
      </w:r>
      <w:r w:rsidRPr="00620FD8">
        <w:rPr>
          <w:b/>
          <w:bCs/>
          <w:i/>
          <w:iCs/>
          <w:lang w:val="de-DE"/>
        </w:rPr>
        <w:t xml:space="preserve">Pläne </w:t>
      </w:r>
      <w:r w:rsidR="0035685E">
        <w:rPr>
          <w:b/>
          <w:bCs/>
          <w:i/>
          <w:iCs/>
          <w:lang w:val="de-DE"/>
        </w:rPr>
        <w:t>[…]</w:t>
      </w:r>
      <w:r w:rsidRPr="00620FD8">
        <w:rPr>
          <w:b/>
          <w:bCs/>
          <w:i/>
          <w:iCs/>
          <w:lang w:val="de-DE"/>
        </w:rPr>
        <w:t xml:space="preserve">, solche </w:t>
      </w:r>
      <w:r>
        <w:rPr>
          <w:b/>
          <w:bCs/>
          <w:i/>
          <w:iCs/>
          <w:lang w:val="de-DE"/>
        </w:rPr>
        <w:t>Prozeduren</w:t>
      </w:r>
      <w:r w:rsidRPr="00620FD8">
        <w:rPr>
          <w:b/>
          <w:bCs/>
          <w:i/>
          <w:iCs/>
          <w:lang w:val="de-DE"/>
        </w:rPr>
        <w:t xml:space="preserve"> zu verbieten, es sei denn, </w:t>
      </w:r>
      <w:r>
        <w:rPr>
          <w:b/>
          <w:bCs/>
          <w:i/>
          <w:iCs/>
          <w:lang w:val="de-DE"/>
        </w:rPr>
        <w:t>es besteht</w:t>
      </w:r>
      <w:r w:rsidRPr="00620FD8">
        <w:rPr>
          <w:b/>
          <w:bCs/>
          <w:i/>
          <w:iCs/>
          <w:lang w:val="de-DE"/>
        </w:rPr>
        <w:t xml:space="preserve"> eine absolute medizinische Notwendigkeit oder </w:t>
      </w:r>
      <w:r>
        <w:rPr>
          <w:b/>
          <w:bCs/>
          <w:i/>
          <w:iCs/>
          <w:lang w:val="de-DE"/>
        </w:rPr>
        <w:t>es liegt die Zustimmung der</w:t>
      </w:r>
      <w:r w:rsidRPr="00620FD8">
        <w:rPr>
          <w:b/>
          <w:bCs/>
          <w:i/>
          <w:iCs/>
          <w:lang w:val="de-DE"/>
        </w:rPr>
        <w:t xml:space="preserve"> ausreichend </w:t>
      </w:r>
      <w:r>
        <w:rPr>
          <w:b/>
          <w:bCs/>
          <w:i/>
          <w:iCs/>
          <w:lang w:val="de-DE"/>
        </w:rPr>
        <w:t>entscheidungsfähigen</w:t>
      </w:r>
      <w:r w:rsidRPr="00620FD8">
        <w:rPr>
          <w:b/>
          <w:bCs/>
          <w:i/>
          <w:iCs/>
          <w:lang w:val="de-DE"/>
        </w:rPr>
        <w:t xml:space="preserve"> Intersex-Personen selbst </w:t>
      </w:r>
      <w:r>
        <w:rPr>
          <w:b/>
          <w:bCs/>
          <w:i/>
          <w:iCs/>
          <w:lang w:val="de-DE"/>
        </w:rPr>
        <w:t>vor”</w:t>
      </w:r>
    </w:p>
    <w:p w14:paraId="5635D4AD" w14:textId="3C73BD99" w:rsidR="00620FD8" w:rsidRPr="00620FD8" w:rsidRDefault="00620FD8" w:rsidP="00620FD8">
      <w:pPr>
        <w:pStyle w:val="absatzschattenbericht"/>
        <w:numPr>
          <w:ilvl w:val="0"/>
          <w:numId w:val="21"/>
        </w:num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“</w:t>
      </w:r>
      <w:r w:rsidRPr="00620FD8">
        <w:rPr>
          <w:b/>
          <w:bCs/>
          <w:i/>
          <w:iCs/>
          <w:lang w:val="de-DE"/>
        </w:rPr>
        <w:t xml:space="preserve">Maßnahmen, die ergriffen wurden, um Hindernisse beim Zugang zur Justiz und bei der Wiedergutmachung für Personen zu beseitigen, die solchen chirurgischen oder anderen Eingriffen </w:t>
      </w:r>
      <w:r>
        <w:rPr>
          <w:b/>
          <w:bCs/>
          <w:i/>
          <w:iCs/>
          <w:lang w:val="de-DE"/>
        </w:rPr>
        <w:t>als</w:t>
      </w:r>
      <w:r w:rsidRPr="00620FD8">
        <w:rPr>
          <w:b/>
          <w:bCs/>
          <w:i/>
          <w:iCs/>
          <w:lang w:val="de-DE"/>
        </w:rPr>
        <w:t xml:space="preserve"> Kinder ausgesetzt waren, einschließlich der Verjährungsfristen</w:t>
      </w:r>
      <w:r w:rsidR="00731BA8">
        <w:rPr>
          <w:b/>
          <w:bCs/>
          <w:i/>
          <w:iCs/>
          <w:lang w:val="de-DE"/>
        </w:rPr>
        <w:t xml:space="preserve"> für die Einreichung von Klagen</w:t>
      </w:r>
      <w:r>
        <w:rPr>
          <w:b/>
          <w:bCs/>
          <w:i/>
          <w:iCs/>
          <w:lang w:val="de-DE"/>
        </w:rPr>
        <w:t>”</w:t>
      </w:r>
    </w:p>
    <w:p w14:paraId="1525AC07" w14:textId="59A0F764" w:rsidR="00B071D4" w:rsidRDefault="00620FD8" w:rsidP="00B071D4">
      <w:pPr>
        <w:pStyle w:val="absatzschattenbericht"/>
        <w:rPr>
          <w:lang w:val="de-CH"/>
        </w:rPr>
      </w:pPr>
      <w:r>
        <w:rPr>
          <w:lang w:val="de-CH"/>
        </w:rPr>
        <w:t xml:space="preserve">Ebenfalls </w:t>
      </w:r>
      <w:r w:rsidRPr="000C63B9">
        <w:rPr>
          <w:b/>
          <w:bCs/>
          <w:lang w:val="de-CH"/>
        </w:rPr>
        <w:t>komplett unterschlug</w:t>
      </w:r>
      <w:r>
        <w:rPr>
          <w:lang w:val="de-CH"/>
        </w:rPr>
        <w:t xml:space="preserve"> der </w:t>
      </w:r>
      <w:proofErr w:type="spellStart"/>
      <w:r>
        <w:rPr>
          <w:lang w:val="de-CH"/>
        </w:rPr>
        <w:t>RefE</w:t>
      </w:r>
      <w:proofErr w:type="spellEnd"/>
      <w:r>
        <w:rPr>
          <w:lang w:val="de-CH"/>
        </w:rPr>
        <w:t xml:space="preserve">, dass der </w:t>
      </w:r>
      <w:r w:rsidRPr="002D50D1">
        <w:rPr>
          <w:b/>
          <w:bCs/>
          <w:lang w:val="de-CH"/>
        </w:rPr>
        <w:t>UN-</w:t>
      </w:r>
      <w:r>
        <w:rPr>
          <w:b/>
          <w:bCs/>
          <w:lang w:val="de-CH"/>
        </w:rPr>
        <w:t>Kinderrechtsausschuss CRC</w:t>
      </w:r>
      <w:r>
        <w:rPr>
          <w:lang w:val="de-CH"/>
        </w:rPr>
        <w:t xml:space="preserve"> </w:t>
      </w:r>
      <w:r w:rsidR="00B071D4">
        <w:rPr>
          <w:lang w:val="de-CH"/>
        </w:rPr>
        <w:t xml:space="preserve">seit 2015 bereits in 17 verbindlichen Empfehlungen IGM in 17 Ländern, einschließlich in der Schweiz, in Frankreich, Belgien, Österreich und Italien, </w:t>
      </w:r>
      <w:r w:rsidR="007F340E">
        <w:rPr>
          <w:lang w:val="de-DE"/>
        </w:rPr>
        <w:t xml:space="preserve">als eine </w:t>
      </w:r>
      <w:r w:rsidR="007F340E" w:rsidRPr="007638E6">
        <w:rPr>
          <w:b/>
          <w:bCs/>
          <w:lang w:val="de-DE"/>
        </w:rPr>
        <w:t xml:space="preserve">schädliche kulturelle Praxis </w:t>
      </w:r>
      <w:r w:rsidR="00FE3DCB">
        <w:rPr>
          <w:lang w:val="de-DE"/>
        </w:rPr>
        <w:t>verurteilte</w:t>
      </w:r>
      <w:r w:rsidR="007F340E">
        <w:rPr>
          <w:lang w:val="de-DE"/>
        </w:rPr>
        <w:t xml:space="preserve"> (</w:t>
      </w:r>
      <w:r w:rsidR="007F340E">
        <w:rPr>
          <w:b/>
          <w:bCs/>
          <w:lang w:val="de-DE"/>
        </w:rPr>
        <w:t>CRC</w:t>
      </w:r>
      <w:r w:rsidR="007F340E" w:rsidRPr="007151DE">
        <w:rPr>
          <w:b/>
          <w:bCs/>
          <w:lang w:val="de-DE"/>
        </w:rPr>
        <w:t xml:space="preserve"> Art. </w:t>
      </w:r>
      <w:r w:rsidR="007F340E">
        <w:rPr>
          <w:b/>
          <w:bCs/>
          <w:lang w:val="de-DE"/>
        </w:rPr>
        <w:t>24(3)</w:t>
      </w:r>
      <w:r w:rsidR="007F340E">
        <w:rPr>
          <w:lang w:val="de-DE"/>
        </w:rPr>
        <w:t xml:space="preserve">, meist in Verbindung mit der </w:t>
      </w:r>
      <w:r w:rsidR="007F340E">
        <w:rPr>
          <w:b/>
          <w:bCs/>
          <w:lang w:val="de-DE"/>
        </w:rPr>
        <w:t>CRC</w:t>
      </w:r>
      <w:r w:rsidR="007F340E" w:rsidRPr="007151DE">
        <w:rPr>
          <w:b/>
          <w:bCs/>
          <w:lang w:val="de-DE"/>
        </w:rPr>
        <w:t>-</w:t>
      </w:r>
      <w:r w:rsidR="007F340E">
        <w:rPr>
          <w:b/>
          <w:bCs/>
          <w:lang w:val="de-DE"/>
        </w:rPr>
        <w:t>CEDAW</w:t>
      </w:r>
      <w:r w:rsidR="007F340E" w:rsidRPr="007151DE">
        <w:rPr>
          <w:b/>
          <w:bCs/>
          <w:lang w:val="de-DE"/>
        </w:rPr>
        <w:t xml:space="preserve"> gemeinsamen allgemeinen Kommentar</w:t>
      </w:r>
      <w:r w:rsidR="007F340E">
        <w:rPr>
          <w:b/>
          <w:bCs/>
          <w:lang w:val="de-DE"/>
        </w:rPr>
        <w:t>/</w:t>
      </w:r>
      <w:r w:rsidR="007F340E" w:rsidRPr="007151DE">
        <w:rPr>
          <w:b/>
          <w:bCs/>
          <w:lang w:val="de-DE"/>
        </w:rPr>
        <w:t>Empfehlung Nr. 18</w:t>
      </w:r>
      <w:r w:rsidR="007F340E">
        <w:rPr>
          <w:b/>
          <w:bCs/>
          <w:lang w:val="de-DE"/>
        </w:rPr>
        <w:t>/31</w:t>
      </w:r>
      <w:r w:rsidR="007F340E" w:rsidRPr="007151DE">
        <w:rPr>
          <w:b/>
          <w:bCs/>
          <w:lang w:val="de-DE"/>
        </w:rPr>
        <w:t xml:space="preserve"> “zu schädlichen Praktiken”</w:t>
      </w:r>
      <w:r w:rsidR="007F340E">
        <w:rPr>
          <w:lang w:val="de-DE"/>
        </w:rPr>
        <w:t>)</w:t>
      </w:r>
      <w:r w:rsidR="003807F4">
        <w:rPr>
          <w:lang w:val="de-DE"/>
        </w:rPr>
        <w:t xml:space="preserve">, und mit </w:t>
      </w:r>
      <w:r w:rsidR="009574A6">
        <w:rPr>
          <w:lang w:val="de-DE"/>
        </w:rPr>
        <w:t>größter</w:t>
      </w:r>
      <w:r w:rsidR="003807F4">
        <w:rPr>
          <w:lang w:val="de-DE"/>
        </w:rPr>
        <w:t xml:space="preserve"> Wahrscheinlichkeit </w:t>
      </w:r>
      <w:r w:rsidR="00207C71">
        <w:rPr>
          <w:lang w:val="de-DE"/>
        </w:rPr>
        <w:t>in der nächsten Staatenprüfung auch Deutschland verurteilen wird.</w:t>
      </w:r>
    </w:p>
    <w:p w14:paraId="3B219AB3" w14:textId="007744AA" w:rsidR="00B071D4" w:rsidRDefault="00B72D5E" w:rsidP="00B071D4">
      <w:pPr>
        <w:pStyle w:val="absatzschattenbericht"/>
        <w:rPr>
          <w:lang w:val="de-CH"/>
        </w:rPr>
      </w:pPr>
      <w:r>
        <w:rPr>
          <w:lang w:val="de-CH"/>
        </w:rPr>
        <w:t xml:space="preserve">Diese </w:t>
      </w:r>
      <w:r w:rsidRPr="00615E91">
        <w:rPr>
          <w:b/>
          <w:bCs/>
          <w:lang w:val="de-CH"/>
        </w:rPr>
        <w:t xml:space="preserve">Unterschlagungen des </w:t>
      </w:r>
      <w:proofErr w:type="spellStart"/>
      <w:r w:rsidRPr="00615E91">
        <w:rPr>
          <w:b/>
          <w:bCs/>
          <w:lang w:val="de-CH"/>
        </w:rPr>
        <w:t>RefE</w:t>
      </w:r>
      <w:proofErr w:type="spellEnd"/>
      <w:r>
        <w:rPr>
          <w:lang w:val="de-CH"/>
        </w:rPr>
        <w:t xml:space="preserve"> sind </w:t>
      </w:r>
      <w:r w:rsidR="00F23BE1">
        <w:rPr>
          <w:lang w:val="de-CH"/>
        </w:rPr>
        <w:t>umso skandalöser</w:t>
      </w:r>
      <w:r w:rsidR="00E46A1D">
        <w:rPr>
          <w:lang w:val="de-CH"/>
        </w:rPr>
        <w:t xml:space="preserve">, als es sich bei diesen Rechtsnormen ausnahmslos entweder direkt (CAT, CCPR) oder indirekt (CEDAW, CRPD, CRC) um sogenannt </w:t>
      </w:r>
      <w:r w:rsidR="00E46A1D" w:rsidRPr="00615E91">
        <w:rPr>
          <w:b/>
          <w:bCs/>
          <w:lang w:val="de-CH"/>
        </w:rPr>
        <w:t xml:space="preserve">unabdingbare </w:t>
      </w:r>
      <w:r w:rsidR="00276BFD" w:rsidRPr="00615E91">
        <w:rPr>
          <w:b/>
          <w:bCs/>
          <w:lang w:val="de-CH"/>
        </w:rPr>
        <w:t>Menschenrechte (</w:t>
      </w:r>
      <w:proofErr w:type="spellStart"/>
      <w:r w:rsidR="00276BFD" w:rsidRPr="00615E91">
        <w:rPr>
          <w:b/>
          <w:bCs/>
          <w:lang w:val="de-CH"/>
        </w:rPr>
        <w:t>ius</w:t>
      </w:r>
      <w:proofErr w:type="spellEnd"/>
      <w:r w:rsidR="00276BFD" w:rsidRPr="00615E91">
        <w:rPr>
          <w:b/>
          <w:bCs/>
          <w:lang w:val="de-CH"/>
        </w:rPr>
        <w:t xml:space="preserve"> </w:t>
      </w:r>
      <w:proofErr w:type="spellStart"/>
      <w:r w:rsidR="00276BFD" w:rsidRPr="00615E91">
        <w:rPr>
          <w:b/>
          <w:bCs/>
          <w:lang w:val="de-CH"/>
        </w:rPr>
        <w:t>cogens</w:t>
      </w:r>
      <w:proofErr w:type="spellEnd"/>
      <w:r w:rsidR="00276BFD" w:rsidRPr="00615E91">
        <w:rPr>
          <w:b/>
          <w:bCs/>
          <w:lang w:val="de-CH"/>
        </w:rPr>
        <w:t>, non-</w:t>
      </w:r>
      <w:proofErr w:type="spellStart"/>
      <w:r w:rsidR="00276BFD" w:rsidRPr="00615E91">
        <w:rPr>
          <w:b/>
          <w:bCs/>
          <w:lang w:val="de-CH"/>
        </w:rPr>
        <w:t>derogable</w:t>
      </w:r>
      <w:proofErr w:type="spellEnd"/>
      <w:r w:rsidR="00276BFD" w:rsidRPr="00615E91">
        <w:rPr>
          <w:b/>
          <w:bCs/>
          <w:lang w:val="de-CH"/>
        </w:rPr>
        <w:t xml:space="preserve"> human </w:t>
      </w:r>
      <w:proofErr w:type="spellStart"/>
      <w:r w:rsidR="00276BFD" w:rsidRPr="00615E91">
        <w:rPr>
          <w:b/>
          <w:bCs/>
          <w:lang w:val="de-CH"/>
        </w:rPr>
        <w:t>rights</w:t>
      </w:r>
      <w:proofErr w:type="spellEnd"/>
      <w:r w:rsidR="00276BFD" w:rsidRPr="00615E91">
        <w:rPr>
          <w:b/>
          <w:bCs/>
          <w:lang w:val="de-CH"/>
        </w:rPr>
        <w:t xml:space="preserve">) </w:t>
      </w:r>
      <w:r w:rsidR="00276BFD">
        <w:rPr>
          <w:lang w:val="de-CH"/>
        </w:rPr>
        <w:t>handelt</w:t>
      </w:r>
      <w:r w:rsidR="00615E91">
        <w:rPr>
          <w:lang w:val="de-CH"/>
        </w:rPr>
        <w:t>.</w:t>
      </w:r>
    </w:p>
    <w:p w14:paraId="60DF982A" w14:textId="0408879D" w:rsidR="00620FD8" w:rsidRDefault="00DC4DC4" w:rsidP="004E23D1">
      <w:pPr>
        <w:pStyle w:val="absatzschattenbericht"/>
        <w:rPr>
          <w:lang w:val="de-DE"/>
        </w:rPr>
      </w:pPr>
      <w:r>
        <w:rPr>
          <w:lang w:val="de-DE"/>
        </w:rPr>
        <w:t xml:space="preserve">Statt diese </w:t>
      </w:r>
      <w:r w:rsidRPr="009B5D4D">
        <w:rPr>
          <w:b/>
          <w:bCs/>
          <w:lang w:val="de-DE"/>
        </w:rPr>
        <w:t>wichtigsten Schutzinstrumente</w:t>
      </w:r>
      <w:r>
        <w:rPr>
          <w:lang w:val="de-DE"/>
        </w:rPr>
        <w:t xml:space="preserve"> für Intersex-Kinder angemessen zu berücksichtigen, </w:t>
      </w:r>
      <w:r w:rsidRPr="009B5D4D">
        <w:rPr>
          <w:b/>
          <w:bCs/>
          <w:lang w:val="de-DE"/>
        </w:rPr>
        <w:t xml:space="preserve">fokussiert der </w:t>
      </w:r>
      <w:proofErr w:type="spellStart"/>
      <w:r w:rsidRPr="009B5D4D">
        <w:rPr>
          <w:b/>
          <w:bCs/>
          <w:lang w:val="de-DE"/>
        </w:rPr>
        <w:t>RefE</w:t>
      </w:r>
      <w:proofErr w:type="spellEnd"/>
      <w:r w:rsidRPr="009B5D4D">
        <w:rPr>
          <w:b/>
          <w:bCs/>
          <w:lang w:val="de-DE"/>
        </w:rPr>
        <w:t xml:space="preserve"> </w:t>
      </w:r>
      <w:r w:rsidR="009D2F1F" w:rsidRPr="009B5D4D">
        <w:rPr>
          <w:b/>
          <w:bCs/>
          <w:lang w:val="de-DE"/>
        </w:rPr>
        <w:t>auf untaugliche oder gar schädliche Schutzmaßnahmen</w:t>
      </w:r>
      <w:r w:rsidR="009B5D4D">
        <w:rPr>
          <w:lang w:val="de-DE"/>
        </w:rPr>
        <w:t>:</w:t>
      </w:r>
    </w:p>
    <w:p w14:paraId="7108B416" w14:textId="3CD483D5" w:rsidR="006B1BE8" w:rsidRPr="006B1BE8" w:rsidRDefault="005D0F25" w:rsidP="006B1BE8">
      <w:pPr>
        <w:pStyle w:val="absatzschattenbericht"/>
        <w:rPr>
          <w:lang w:val="de-CH"/>
        </w:rPr>
      </w:pPr>
      <w:r>
        <w:rPr>
          <w:lang w:val="de-DE"/>
        </w:rPr>
        <w:t xml:space="preserve">Zwar erwähnt 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(S. 6) das 2014 </w:t>
      </w:r>
      <w:r w:rsidRPr="00821993">
        <w:rPr>
          <w:b/>
          <w:bCs/>
          <w:lang w:val="de-DE"/>
        </w:rPr>
        <w:t xml:space="preserve">WHO </w:t>
      </w:r>
      <w:proofErr w:type="spellStart"/>
      <w:r w:rsidRPr="00821993">
        <w:rPr>
          <w:b/>
          <w:bCs/>
          <w:lang w:val="de-DE"/>
        </w:rPr>
        <w:t>Interagency</w:t>
      </w:r>
      <w:proofErr w:type="spellEnd"/>
      <w:r w:rsidRPr="00821993">
        <w:rPr>
          <w:b/>
          <w:bCs/>
          <w:lang w:val="de-DE"/>
        </w:rPr>
        <w:t xml:space="preserve"> Statement</w:t>
      </w:r>
      <w:r>
        <w:rPr>
          <w:lang w:val="de-DE"/>
        </w:rPr>
        <w:t xml:space="preserve"> “</w:t>
      </w:r>
      <w:proofErr w:type="spellStart"/>
      <w:r>
        <w:rPr>
          <w:lang w:val="de-DE"/>
        </w:rPr>
        <w:t>Eliminating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forced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coercive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otherwise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involuntary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sterilization</w:t>
      </w:r>
      <w:proofErr w:type="spellEnd"/>
      <w:r>
        <w:rPr>
          <w:lang w:val="de-DE"/>
        </w:rPr>
        <w:t>”</w:t>
      </w:r>
      <w:r w:rsidR="006B1BE8">
        <w:rPr>
          <w:lang w:val="de-DE"/>
        </w:rPr>
        <w:t xml:space="preserve">, jedoch </w:t>
      </w:r>
      <w:r w:rsidR="006B1BE8" w:rsidRPr="00510837">
        <w:rPr>
          <w:b/>
          <w:bCs/>
          <w:lang w:val="de-DE"/>
        </w:rPr>
        <w:t>unterschlägt</w:t>
      </w:r>
      <w:r w:rsidR="006B1BE8">
        <w:rPr>
          <w:lang w:val="de-DE"/>
        </w:rPr>
        <w:t xml:space="preserve"> der </w:t>
      </w:r>
      <w:proofErr w:type="spellStart"/>
      <w:r w:rsidR="006B1BE8">
        <w:rPr>
          <w:lang w:val="de-DE"/>
        </w:rPr>
        <w:t>RefE</w:t>
      </w:r>
      <w:proofErr w:type="spellEnd"/>
      <w:r w:rsidR="006B1BE8">
        <w:rPr>
          <w:lang w:val="de-DE"/>
        </w:rPr>
        <w:t xml:space="preserve"> dessen </w:t>
      </w:r>
      <w:r w:rsidR="006B1BE8" w:rsidRPr="006B1BE8">
        <w:rPr>
          <w:b/>
          <w:bCs/>
          <w:lang w:val="de-DE"/>
        </w:rPr>
        <w:t xml:space="preserve">zentrale </w:t>
      </w:r>
      <w:r w:rsidR="006B1BE8" w:rsidRPr="006B1BE8">
        <w:rPr>
          <w:b/>
          <w:bCs/>
          <w:lang w:val="de-CH"/>
        </w:rPr>
        <w:t>Forderungen an verantwortliche Staaten und Institutionen</w:t>
      </w:r>
      <w:r w:rsidR="006B1BE8" w:rsidRPr="006B1BE8">
        <w:rPr>
          <w:lang w:val="de-CH"/>
        </w:rPr>
        <w:t>,</w:t>
      </w:r>
      <w:r w:rsidR="00510837" w:rsidRPr="008A1A51">
        <w:rPr>
          <w:rStyle w:val="Funotenzeichen"/>
          <w:lang w:val="de-DE"/>
        </w:rPr>
        <w:footnoteReference w:id="10"/>
      </w:r>
      <w:r w:rsidR="006B1BE8" w:rsidRPr="006B1BE8">
        <w:rPr>
          <w:lang w:val="de-CH"/>
        </w:rPr>
        <w:t xml:space="preserve"> inkl.</w:t>
      </w:r>
    </w:p>
    <w:p w14:paraId="75F19D62" w14:textId="77777777" w:rsidR="006B1BE8" w:rsidRPr="006B1BE8" w:rsidRDefault="006B1BE8" w:rsidP="00567BB8">
      <w:pPr>
        <w:pStyle w:val="absatzschattenbericht"/>
        <w:numPr>
          <w:ilvl w:val="0"/>
          <w:numId w:val="22"/>
        </w:numPr>
        <w:spacing w:after="20"/>
        <w:ind w:left="714" w:hanging="357"/>
        <w:rPr>
          <w:b/>
          <w:bCs/>
          <w:lang w:val="de-CH"/>
        </w:rPr>
      </w:pPr>
      <w:r w:rsidRPr="006B1BE8">
        <w:rPr>
          <w:b/>
          <w:bCs/>
          <w:lang w:val="de-CH"/>
        </w:rPr>
        <w:t>unabhängige Untersuchung aller Fälle</w:t>
      </w:r>
    </w:p>
    <w:p w14:paraId="512FC04C" w14:textId="77777777" w:rsidR="006B1BE8" w:rsidRPr="006B1BE8" w:rsidRDefault="006B1BE8" w:rsidP="00567BB8">
      <w:pPr>
        <w:pStyle w:val="absatzschattenbericht"/>
        <w:numPr>
          <w:ilvl w:val="0"/>
          <w:numId w:val="22"/>
        </w:numPr>
        <w:spacing w:after="20"/>
        <w:ind w:left="714" w:hanging="357"/>
        <w:rPr>
          <w:b/>
          <w:bCs/>
          <w:lang w:val="de-CH"/>
        </w:rPr>
      </w:pPr>
      <w:r w:rsidRPr="006B1BE8">
        <w:rPr>
          <w:b/>
          <w:bCs/>
          <w:lang w:val="de-CH"/>
        </w:rPr>
        <w:t>gesellschaftliche Anerkennung, Aufarbeitung und Entschuldigung</w:t>
      </w:r>
    </w:p>
    <w:p w14:paraId="2FF0FBA7" w14:textId="77777777" w:rsidR="006B1BE8" w:rsidRPr="006B1BE8" w:rsidRDefault="006B1BE8" w:rsidP="00567BB8">
      <w:pPr>
        <w:pStyle w:val="absatzschattenbericht"/>
        <w:numPr>
          <w:ilvl w:val="0"/>
          <w:numId w:val="22"/>
        </w:numPr>
        <w:spacing w:after="20"/>
        <w:ind w:left="714" w:hanging="357"/>
        <w:rPr>
          <w:b/>
          <w:bCs/>
          <w:lang w:val="de-CH"/>
        </w:rPr>
      </w:pPr>
      <w:r w:rsidRPr="006B1BE8">
        <w:rPr>
          <w:b/>
          <w:bCs/>
          <w:lang w:val="de-CH"/>
        </w:rPr>
        <w:t>Datenerfassung und Monitoring</w:t>
      </w:r>
    </w:p>
    <w:p w14:paraId="4AF2F98D" w14:textId="77777777" w:rsidR="006B1BE8" w:rsidRPr="006B1BE8" w:rsidRDefault="006B1BE8" w:rsidP="00567BB8">
      <w:pPr>
        <w:pStyle w:val="absatzschattenbericht"/>
        <w:numPr>
          <w:ilvl w:val="0"/>
          <w:numId w:val="22"/>
        </w:numPr>
        <w:spacing w:after="20"/>
        <w:ind w:left="714" w:hanging="357"/>
        <w:rPr>
          <w:b/>
          <w:bCs/>
          <w:lang w:val="de-CH"/>
        </w:rPr>
      </w:pPr>
      <w:r w:rsidRPr="006B1BE8">
        <w:rPr>
          <w:b/>
          <w:bCs/>
          <w:lang w:val="de-CH"/>
        </w:rPr>
        <w:t>angemessene Benachrichtigung aller ohne ihr Wissen Behandelten</w:t>
      </w:r>
    </w:p>
    <w:p w14:paraId="665C85CA" w14:textId="77777777" w:rsidR="006B1BE8" w:rsidRPr="006B1BE8" w:rsidRDefault="006B1BE8" w:rsidP="006B1BE8">
      <w:pPr>
        <w:pStyle w:val="absatzschattenbericht"/>
        <w:numPr>
          <w:ilvl w:val="0"/>
          <w:numId w:val="22"/>
        </w:numPr>
        <w:rPr>
          <w:b/>
          <w:bCs/>
          <w:lang w:val="de-CH"/>
        </w:rPr>
      </w:pPr>
      <w:r w:rsidRPr="006B1BE8">
        <w:rPr>
          <w:b/>
          <w:bCs/>
          <w:lang w:val="de-CH"/>
        </w:rPr>
        <w:t>Ermöglichung von administrativen und juristischen Wiedergutmachungserfahren inkl. Prozesskostenhilfe.</w:t>
      </w:r>
    </w:p>
    <w:p w14:paraId="78B11EFE" w14:textId="77777777" w:rsidR="006C727E" w:rsidRDefault="00840DFF" w:rsidP="006B1BE8">
      <w:pPr>
        <w:pStyle w:val="absatzschattenbericht"/>
        <w:rPr>
          <w:lang w:val="de-DE"/>
        </w:rPr>
      </w:pPr>
      <w:r>
        <w:rPr>
          <w:lang w:val="de-DE"/>
        </w:rPr>
        <w:t xml:space="preserve">Betreffend </w:t>
      </w:r>
      <w:r w:rsidRPr="00A751E7">
        <w:rPr>
          <w:b/>
          <w:bCs/>
          <w:lang w:val="de-DE"/>
        </w:rPr>
        <w:t>angebliche taugliche Schutzinstrumente</w:t>
      </w:r>
      <w:r>
        <w:rPr>
          <w:lang w:val="de-DE"/>
        </w:rPr>
        <w:t xml:space="preserve"> für Intersex-Kinder</w:t>
      </w:r>
      <w:r w:rsidR="00A751E7">
        <w:rPr>
          <w:lang w:val="de-DE"/>
        </w:rPr>
        <w:t xml:space="preserve"> verweist der </w:t>
      </w:r>
      <w:proofErr w:type="spellStart"/>
      <w:r w:rsidR="00A751E7">
        <w:rPr>
          <w:lang w:val="de-DE"/>
        </w:rPr>
        <w:t>RefE</w:t>
      </w:r>
      <w:proofErr w:type="spellEnd"/>
      <w:r w:rsidR="00A751E7">
        <w:rPr>
          <w:lang w:val="de-DE"/>
        </w:rPr>
        <w:t xml:space="preserve"> auf Gesetze in </w:t>
      </w:r>
      <w:r w:rsidR="00A751E7" w:rsidRPr="00426FB9">
        <w:rPr>
          <w:b/>
          <w:bCs/>
          <w:lang w:val="de-DE"/>
        </w:rPr>
        <w:t>Malta</w:t>
      </w:r>
      <w:r w:rsidR="00A751E7">
        <w:rPr>
          <w:lang w:val="de-DE"/>
        </w:rPr>
        <w:t xml:space="preserve"> (S. 14), </w:t>
      </w:r>
      <w:r w:rsidR="00A751E7" w:rsidRPr="00426FB9">
        <w:rPr>
          <w:b/>
          <w:bCs/>
          <w:lang w:val="de-DE"/>
        </w:rPr>
        <w:t>Portugal</w:t>
      </w:r>
      <w:r w:rsidR="00A751E7">
        <w:rPr>
          <w:lang w:val="de-DE"/>
        </w:rPr>
        <w:t xml:space="preserve"> (S. 14), </w:t>
      </w:r>
      <w:r w:rsidR="00A751E7" w:rsidRPr="00426FB9">
        <w:rPr>
          <w:b/>
          <w:bCs/>
          <w:lang w:val="de-DE"/>
        </w:rPr>
        <w:t>Argentinien</w:t>
      </w:r>
      <w:r w:rsidR="00A751E7">
        <w:rPr>
          <w:lang w:val="de-DE"/>
        </w:rPr>
        <w:t xml:space="preserve"> (S. 15), </w:t>
      </w:r>
      <w:r w:rsidR="00A751E7" w:rsidRPr="00426FB9">
        <w:rPr>
          <w:b/>
          <w:bCs/>
          <w:lang w:val="de-DE"/>
        </w:rPr>
        <w:t>Spanien</w:t>
      </w:r>
      <w:r w:rsidR="00A751E7">
        <w:rPr>
          <w:lang w:val="de-DE"/>
        </w:rPr>
        <w:t xml:space="preserve"> (S. 15). Tatsächlich bieten alle diese Gesetze aber </w:t>
      </w:r>
      <w:r w:rsidR="00A751E7" w:rsidRPr="00426FB9">
        <w:rPr>
          <w:b/>
          <w:bCs/>
          <w:lang w:val="de-DE"/>
        </w:rPr>
        <w:t>keinen wirksamen Schutz</w:t>
      </w:r>
      <w:r w:rsidR="00A751E7">
        <w:rPr>
          <w:lang w:val="de-DE"/>
        </w:rPr>
        <w:t xml:space="preserve">, </w:t>
      </w:r>
      <w:r w:rsidR="004B7FF5">
        <w:rPr>
          <w:lang w:val="de-DE"/>
        </w:rPr>
        <w:t xml:space="preserve">und alle diese Länder wurden diesbezüglich </w:t>
      </w:r>
      <w:r w:rsidR="004B7FF5" w:rsidRPr="00F12081">
        <w:rPr>
          <w:b/>
          <w:bCs/>
          <w:lang w:val="de-DE"/>
        </w:rPr>
        <w:t>vom UN-Kinderrechtsausschuss CRC gerügt</w:t>
      </w:r>
      <w:r w:rsidR="004B7FF5">
        <w:rPr>
          <w:lang w:val="de-DE"/>
        </w:rPr>
        <w:t xml:space="preserve"> unter Verweis auf </w:t>
      </w:r>
      <w:r w:rsidR="00426FB9">
        <w:rPr>
          <w:lang w:val="de-DE"/>
        </w:rPr>
        <w:t xml:space="preserve">CRC Art. 24(3) </w:t>
      </w:r>
      <w:r w:rsidR="00426FB9" w:rsidRPr="00F12081">
        <w:rPr>
          <w:b/>
          <w:bCs/>
          <w:lang w:val="de-DE"/>
        </w:rPr>
        <w:t>“schädliche Praktiken”</w:t>
      </w:r>
      <w:r w:rsidR="00810B29">
        <w:rPr>
          <w:lang w:val="de-DE"/>
        </w:rPr>
        <w:t>.</w:t>
      </w:r>
      <w:r w:rsidR="00810B29" w:rsidRPr="008A1A51">
        <w:rPr>
          <w:rStyle w:val="Funotenzeichen"/>
          <w:lang w:val="de-DE"/>
        </w:rPr>
        <w:footnoteReference w:id="11"/>
      </w:r>
      <w:r w:rsidR="001D4DB3">
        <w:rPr>
          <w:lang w:val="de-DE"/>
        </w:rPr>
        <w:t xml:space="preserve"> </w:t>
      </w:r>
    </w:p>
    <w:p w14:paraId="408E2771" w14:textId="3DFEE312" w:rsidR="006B1BE8" w:rsidRDefault="001D4DB3" w:rsidP="006B1BE8">
      <w:pPr>
        <w:pStyle w:val="absatzschattenbericht"/>
        <w:rPr>
          <w:lang w:val="de-DE"/>
        </w:rPr>
      </w:pPr>
      <w:r>
        <w:rPr>
          <w:lang w:val="de-DE"/>
        </w:rPr>
        <w:lastRenderedPageBreak/>
        <w:t xml:space="preserve">Weiter erwähnt 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ein Gesetz in </w:t>
      </w:r>
      <w:r w:rsidRPr="00F0441C">
        <w:rPr>
          <w:b/>
          <w:bCs/>
          <w:lang w:val="de-DE"/>
        </w:rPr>
        <w:t>Island</w:t>
      </w:r>
      <w:r>
        <w:rPr>
          <w:lang w:val="de-DE"/>
        </w:rPr>
        <w:t xml:space="preserve"> (S. 15), dieses enthält jedoch </w:t>
      </w:r>
      <w:r w:rsidRPr="00F0441C">
        <w:rPr>
          <w:b/>
          <w:bCs/>
          <w:lang w:val="de-DE"/>
        </w:rPr>
        <w:t>keinerlei Bestimmungen</w:t>
      </w:r>
      <w:r w:rsidR="00C41FC6">
        <w:rPr>
          <w:lang w:val="de-DE"/>
        </w:rPr>
        <w:t xml:space="preserve"> zum Schutz von Intersex-Kindern.</w:t>
      </w:r>
      <w:r w:rsidR="00F0441C" w:rsidRPr="008A1A51">
        <w:rPr>
          <w:rStyle w:val="Funotenzeichen"/>
          <w:lang w:val="de-DE"/>
        </w:rPr>
        <w:footnoteReference w:id="12"/>
      </w:r>
    </w:p>
    <w:p w14:paraId="7659F97C" w14:textId="77777777" w:rsidR="006C727E" w:rsidRPr="006C727E" w:rsidRDefault="006C727E" w:rsidP="006B1BE8">
      <w:pPr>
        <w:pStyle w:val="absatzschattenbericht"/>
        <w:rPr>
          <w:sz w:val="12"/>
          <w:szCs w:val="12"/>
          <w:lang w:val="de-DE"/>
        </w:rPr>
      </w:pPr>
    </w:p>
    <w:p w14:paraId="5BF31565" w14:textId="31419D69" w:rsidR="0016348A" w:rsidRPr="008A1A51" w:rsidRDefault="0016348A" w:rsidP="0016348A">
      <w:pPr>
        <w:pStyle w:val="Title2"/>
        <w:rPr>
          <w:lang w:val="de-DE"/>
        </w:rPr>
      </w:pPr>
      <w:r w:rsidRPr="008A1A51">
        <w:rPr>
          <w:lang w:val="de-DE"/>
        </w:rPr>
        <w:t>4.</w:t>
      </w:r>
      <w:r w:rsidR="00A007F8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 </w:t>
      </w:r>
      <w:r w:rsidR="003C2E8D" w:rsidRPr="008A1A51">
        <w:rPr>
          <w:lang w:val="de-DE"/>
        </w:rPr>
        <w:t>Missachtung der Minimalanforderungen für einen wirksamen Schutz</w:t>
      </w:r>
      <w:r w:rsidR="003C2E8D" w:rsidRPr="008A1A51">
        <w:rPr>
          <w:lang w:val="de-DE"/>
        </w:rPr>
        <w:br/>
        <w:t xml:space="preserve">     vor schweren Verletzungen unabdingbarer Menschenrechte</w:t>
      </w:r>
    </w:p>
    <w:p w14:paraId="0C95B33A" w14:textId="640A1248" w:rsidR="00BF710F" w:rsidRPr="00FE1545" w:rsidRDefault="007A0A2B" w:rsidP="00C73879">
      <w:pPr>
        <w:pStyle w:val="absatzschattenbericht"/>
        <w:rPr>
          <w:lang w:val="de-CH"/>
        </w:rPr>
      </w:pPr>
      <w:r>
        <w:rPr>
          <w:lang w:val="de-DE"/>
        </w:rPr>
        <w:t>Entsprechend den im obigen Abschnitt</w:t>
      </w:r>
      <w:r w:rsidR="00F87C48">
        <w:rPr>
          <w:lang w:val="de-DE"/>
        </w:rPr>
        <w:t xml:space="preserve"> </w:t>
      </w:r>
      <w:r w:rsidR="00733A96">
        <w:rPr>
          <w:lang w:val="de-DE"/>
        </w:rPr>
        <w:t xml:space="preserve">als </w:t>
      </w:r>
      <w:r w:rsidR="00F87C48">
        <w:rPr>
          <w:lang w:val="de-DE"/>
        </w:rPr>
        <w:t>für Deutschland</w:t>
      </w:r>
      <w:r>
        <w:rPr>
          <w:lang w:val="de-DE"/>
        </w:rPr>
        <w:t xml:space="preserve"> </w:t>
      </w:r>
      <w:r w:rsidR="00A71E01">
        <w:rPr>
          <w:lang w:val="de-DE"/>
        </w:rPr>
        <w:t>anwendbar</w:t>
      </w:r>
      <w:r w:rsidR="00733A96">
        <w:rPr>
          <w:lang w:val="de-DE"/>
        </w:rPr>
        <w:t xml:space="preserve"> nachgewi</w:t>
      </w:r>
      <w:r w:rsidR="002B296A">
        <w:rPr>
          <w:lang w:val="de-DE"/>
        </w:rPr>
        <w:t>e</w:t>
      </w:r>
      <w:r w:rsidR="00733A96">
        <w:rPr>
          <w:lang w:val="de-DE"/>
        </w:rPr>
        <w:t>senen</w:t>
      </w:r>
      <w:r>
        <w:rPr>
          <w:lang w:val="de-DE"/>
        </w:rPr>
        <w:t xml:space="preserve"> </w:t>
      </w:r>
      <w:r w:rsidRPr="00F533FF">
        <w:rPr>
          <w:b/>
          <w:bCs/>
          <w:lang w:val="de-DE"/>
        </w:rPr>
        <w:t>unabdingbaren Menschenrechten (</w:t>
      </w:r>
      <w:proofErr w:type="spellStart"/>
      <w:r w:rsidRPr="00F533FF">
        <w:rPr>
          <w:b/>
          <w:bCs/>
          <w:lang w:val="de-DE"/>
        </w:rPr>
        <w:t>ius</w:t>
      </w:r>
      <w:proofErr w:type="spellEnd"/>
      <w:r w:rsidRPr="00F533FF">
        <w:rPr>
          <w:b/>
          <w:bCs/>
          <w:lang w:val="de-DE"/>
        </w:rPr>
        <w:t xml:space="preserve"> </w:t>
      </w:r>
      <w:proofErr w:type="spellStart"/>
      <w:r w:rsidRPr="00F533FF">
        <w:rPr>
          <w:b/>
          <w:bCs/>
          <w:lang w:val="de-DE"/>
        </w:rPr>
        <w:t>cogens</w:t>
      </w:r>
      <w:proofErr w:type="spellEnd"/>
      <w:r w:rsidRPr="00F533FF">
        <w:rPr>
          <w:b/>
          <w:bCs/>
          <w:lang w:val="de-DE"/>
        </w:rPr>
        <w:t>, non-</w:t>
      </w:r>
      <w:proofErr w:type="spellStart"/>
      <w:r w:rsidRPr="00F533FF">
        <w:rPr>
          <w:b/>
          <w:bCs/>
          <w:lang w:val="de-DE"/>
        </w:rPr>
        <w:t>derogable</w:t>
      </w:r>
      <w:proofErr w:type="spellEnd"/>
      <w:r w:rsidRPr="00F533FF">
        <w:rPr>
          <w:b/>
          <w:bCs/>
          <w:lang w:val="de-DE"/>
        </w:rPr>
        <w:t xml:space="preserve"> human </w:t>
      </w:r>
      <w:proofErr w:type="spellStart"/>
      <w:r w:rsidRPr="00F533FF">
        <w:rPr>
          <w:b/>
          <w:bCs/>
          <w:lang w:val="de-DE"/>
        </w:rPr>
        <w:t>rights</w:t>
      </w:r>
      <w:proofErr w:type="spellEnd"/>
      <w:r w:rsidRPr="00F533FF">
        <w:rPr>
          <w:b/>
          <w:bCs/>
          <w:lang w:val="de-DE"/>
        </w:rPr>
        <w:t>)</w:t>
      </w:r>
      <w:r w:rsidR="00F533FF">
        <w:rPr>
          <w:lang w:val="de-DE"/>
        </w:rPr>
        <w:t xml:space="preserve">, </w:t>
      </w:r>
      <w:r w:rsidR="00BF710F">
        <w:rPr>
          <w:lang w:val="de-DE"/>
        </w:rPr>
        <w:t xml:space="preserve">insbesondere </w:t>
      </w:r>
      <w:r w:rsidR="00BF710F" w:rsidRPr="00BF710F">
        <w:rPr>
          <w:b/>
          <w:bCs/>
          <w:lang w:val="de-DE"/>
        </w:rPr>
        <w:t>CAT Art. 2 und 16</w:t>
      </w:r>
      <w:r w:rsidR="00BF710F">
        <w:rPr>
          <w:lang w:val="de-DE"/>
        </w:rPr>
        <w:t xml:space="preserve"> in Verbindung mit den </w:t>
      </w:r>
      <w:r w:rsidR="00407297">
        <w:rPr>
          <w:b/>
          <w:bCs/>
          <w:lang w:val="de-DE"/>
        </w:rPr>
        <w:t>a</w:t>
      </w:r>
      <w:r w:rsidR="00BF710F" w:rsidRPr="00BF710F">
        <w:rPr>
          <w:b/>
          <w:bCs/>
          <w:lang w:val="de-DE"/>
        </w:rPr>
        <w:t xml:space="preserve">llgemeinen Kommentaren </w:t>
      </w:r>
      <w:r w:rsidR="00BF710F" w:rsidRPr="00BF710F">
        <w:rPr>
          <w:b/>
          <w:bCs/>
          <w:lang w:val="de-CH"/>
        </w:rPr>
        <w:t>Nr. 2</w:t>
      </w:r>
      <w:r w:rsidR="00BF710F" w:rsidRPr="006532F0">
        <w:rPr>
          <w:lang w:val="de-CH"/>
        </w:rPr>
        <w:t xml:space="preserve"> (CAT/C/GC/2, </w:t>
      </w:r>
      <w:r w:rsidR="00E824B1">
        <w:rPr>
          <w:lang w:val="de-CH"/>
        </w:rPr>
        <w:t>Abs.</w:t>
      </w:r>
      <w:r w:rsidR="00BF710F" w:rsidRPr="006532F0">
        <w:rPr>
          <w:lang w:val="de-CH"/>
        </w:rPr>
        <w:t xml:space="preserve"> 3-4) </w:t>
      </w:r>
      <w:r w:rsidR="00BF710F">
        <w:rPr>
          <w:lang w:val="de-CH"/>
        </w:rPr>
        <w:t xml:space="preserve">und </w:t>
      </w:r>
      <w:r w:rsidR="00BF710F" w:rsidRPr="00BF710F">
        <w:rPr>
          <w:b/>
          <w:bCs/>
          <w:lang w:val="de-CH"/>
        </w:rPr>
        <w:t>Nr. 3</w:t>
      </w:r>
      <w:r w:rsidR="00BF710F" w:rsidRPr="00951EFD">
        <w:rPr>
          <w:lang w:val="de-CH"/>
        </w:rPr>
        <w:t xml:space="preserve"> (CAT/C/GC/3, </w:t>
      </w:r>
      <w:r w:rsidR="00E824B1">
        <w:rPr>
          <w:lang w:val="de-CH"/>
        </w:rPr>
        <w:t>Abs.</w:t>
      </w:r>
      <w:r w:rsidR="00BF710F" w:rsidRPr="00951EFD">
        <w:rPr>
          <w:lang w:val="de-CH"/>
        </w:rPr>
        <w:t> 1)</w:t>
      </w:r>
      <w:r w:rsidR="00BF710F">
        <w:rPr>
          <w:lang w:val="de-CH"/>
        </w:rPr>
        <w:t xml:space="preserve">, </w:t>
      </w:r>
      <w:r w:rsidR="00BF710F" w:rsidRPr="00BF710F">
        <w:rPr>
          <w:b/>
          <w:bCs/>
          <w:lang w:val="de-CH"/>
        </w:rPr>
        <w:t>CCPR Art. 7</w:t>
      </w:r>
      <w:r w:rsidR="00BF710F">
        <w:rPr>
          <w:lang w:val="de-CH"/>
        </w:rPr>
        <w:t xml:space="preserve"> in Verbindung mit dem </w:t>
      </w:r>
      <w:r w:rsidR="00407297">
        <w:rPr>
          <w:b/>
          <w:bCs/>
          <w:lang w:val="de-CH"/>
        </w:rPr>
        <w:t>a</w:t>
      </w:r>
      <w:r w:rsidR="00BF710F">
        <w:rPr>
          <w:b/>
          <w:bCs/>
          <w:lang w:val="de-CH"/>
        </w:rPr>
        <w:t xml:space="preserve">llgemeinen Kommentar Nr. 20 </w:t>
      </w:r>
      <w:r w:rsidR="00BF710F">
        <w:rPr>
          <w:lang w:val="de-CH"/>
        </w:rPr>
        <w:t>(</w:t>
      </w:r>
      <w:r w:rsidR="00C73879" w:rsidRPr="00FE1545">
        <w:rPr>
          <w:lang w:val="de-CH"/>
        </w:rPr>
        <w:t>HRI/GEN/1/Rev.9 (Vol. I)</w:t>
      </w:r>
      <w:r w:rsidR="0035417B" w:rsidRPr="00FE1545">
        <w:rPr>
          <w:lang w:val="de-CH"/>
        </w:rPr>
        <w:t>, Abs. 2, 8, 14, 15</w:t>
      </w:r>
      <w:r w:rsidR="00BF710F">
        <w:rPr>
          <w:lang w:val="de-CH"/>
        </w:rPr>
        <w:t xml:space="preserve">), sowie </w:t>
      </w:r>
      <w:r w:rsidR="0017659D" w:rsidRPr="00272AC3">
        <w:rPr>
          <w:b/>
          <w:bCs/>
          <w:lang w:val="de-CH"/>
        </w:rPr>
        <w:t>CEDAW Art. 5</w:t>
      </w:r>
      <w:r w:rsidR="0017659D">
        <w:rPr>
          <w:lang w:val="de-CH"/>
        </w:rPr>
        <w:t xml:space="preserve"> und </w:t>
      </w:r>
      <w:r w:rsidR="0017659D" w:rsidRPr="00272AC3">
        <w:rPr>
          <w:b/>
          <w:bCs/>
          <w:lang w:val="de-CH"/>
        </w:rPr>
        <w:t xml:space="preserve">CRC Art. 24(3) </w:t>
      </w:r>
      <w:r w:rsidR="0017659D">
        <w:rPr>
          <w:lang w:val="de-CH"/>
        </w:rPr>
        <w:t xml:space="preserve">in Verbindung mit </w:t>
      </w:r>
      <w:r w:rsidR="0017659D" w:rsidRPr="007151DE">
        <w:rPr>
          <w:b/>
          <w:bCs/>
          <w:lang w:val="de-DE"/>
        </w:rPr>
        <w:t>CEDAW-CRC gemeinsame</w:t>
      </w:r>
      <w:r w:rsidR="00311E7E">
        <w:rPr>
          <w:b/>
          <w:bCs/>
          <w:lang w:val="de-DE"/>
        </w:rPr>
        <w:t>r</w:t>
      </w:r>
      <w:r w:rsidR="0017659D" w:rsidRPr="007151DE">
        <w:rPr>
          <w:b/>
          <w:bCs/>
          <w:lang w:val="de-DE"/>
        </w:rPr>
        <w:t xml:space="preserve"> allgemeine</w:t>
      </w:r>
      <w:r w:rsidR="00311E7E">
        <w:rPr>
          <w:b/>
          <w:bCs/>
          <w:lang w:val="de-DE"/>
        </w:rPr>
        <w:t>r</w:t>
      </w:r>
      <w:r w:rsidR="0017659D" w:rsidRPr="007151DE">
        <w:rPr>
          <w:b/>
          <w:bCs/>
          <w:lang w:val="de-DE"/>
        </w:rPr>
        <w:t xml:space="preserve"> Empfehlung/Kommentar Nr. 31/18</w:t>
      </w:r>
      <w:r w:rsidR="0017659D">
        <w:rPr>
          <w:lang w:val="de-DE"/>
        </w:rPr>
        <w:t xml:space="preserve"> (</w:t>
      </w:r>
      <w:r w:rsidR="0017659D" w:rsidRPr="0017659D">
        <w:rPr>
          <w:lang w:val="de-DE"/>
        </w:rPr>
        <w:t>CEDAW/C/GC/31-CRC/C/GC/18</w:t>
      </w:r>
      <w:r w:rsidR="0035417B">
        <w:rPr>
          <w:lang w:val="de-DE"/>
        </w:rPr>
        <w:t xml:space="preserve">, Abs. </w:t>
      </w:r>
      <w:r w:rsidR="00911B18">
        <w:rPr>
          <w:lang w:val="de-DE"/>
        </w:rPr>
        <w:t xml:space="preserve">2, 13, 31-36, 37-39, 40-55, </w:t>
      </w:r>
      <w:r w:rsidR="00E12EA1">
        <w:rPr>
          <w:lang w:val="de-DE"/>
        </w:rPr>
        <w:t xml:space="preserve">insbesondere Abs. 50, </w:t>
      </w:r>
      <w:r w:rsidR="00911B18">
        <w:rPr>
          <w:lang w:val="de-DE"/>
        </w:rPr>
        <w:t>55(d), 55(n), 55(o), 55(q)</w:t>
      </w:r>
      <w:r w:rsidR="0017659D">
        <w:rPr>
          <w:lang w:val="de-DE"/>
        </w:rPr>
        <w:t>)</w:t>
      </w:r>
      <w:r w:rsidR="007E3942">
        <w:rPr>
          <w:lang w:val="de-DE"/>
        </w:rPr>
        <w:t xml:space="preserve"> und </w:t>
      </w:r>
      <w:r w:rsidR="00C666C3" w:rsidRPr="00272AC3">
        <w:rPr>
          <w:b/>
          <w:bCs/>
          <w:lang w:val="de-DE"/>
        </w:rPr>
        <w:t>CRPD Art. 17</w:t>
      </w:r>
      <w:r w:rsidR="00C666C3">
        <w:rPr>
          <w:lang w:val="de-DE"/>
        </w:rPr>
        <w:t xml:space="preserve"> in Verbindung mit </w:t>
      </w:r>
      <w:r w:rsidR="00E824B1">
        <w:rPr>
          <w:b/>
          <w:bCs/>
          <w:lang w:val="de-DE"/>
        </w:rPr>
        <w:t>allgemeinem Kommentar Nr.</w:t>
      </w:r>
      <w:r w:rsidR="00595E54">
        <w:rPr>
          <w:b/>
          <w:bCs/>
          <w:lang w:val="de-DE"/>
        </w:rPr>
        <w:t> </w:t>
      </w:r>
      <w:r w:rsidR="00E824B1">
        <w:rPr>
          <w:b/>
          <w:bCs/>
          <w:lang w:val="de-DE"/>
        </w:rPr>
        <w:t xml:space="preserve">3 </w:t>
      </w:r>
      <w:r w:rsidR="00E824B1">
        <w:rPr>
          <w:lang w:val="de-DE"/>
        </w:rPr>
        <w:t>(</w:t>
      </w:r>
      <w:r w:rsidR="00E824B1" w:rsidRPr="00E824B1">
        <w:rPr>
          <w:lang w:val="de-DE"/>
        </w:rPr>
        <w:t>CRPD/C/GC/3</w:t>
      </w:r>
      <w:r w:rsidR="00E824B1">
        <w:rPr>
          <w:lang w:val="de-DE"/>
        </w:rPr>
        <w:t>, Abs. 32)</w:t>
      </w:r>
      <w:r w:rsidR="0040082B">
        <w:rPr>
          <w:lang w:val="de-DE"/>
        </w:rPr>
        <w:t xml:space="preserve">, ergeben sich folgende </w:t>
      </w:r>
      <w:r w:rsidR="0040082B" w:rsidRPr="00733A96">
        <w:rPr>
          <w:b/>
          <w:bCs/>
          <w:lang w:val="de-DE"/>
        </w:rPr>
        <w:t>Minimalanforderungen</w:t>
      </w:r>
      <w:r w:rsidR="0040082B">
        <w:rPr>
          <w:lang w:val="de-DE"/>
        </w:rPr>
        <w:t xml:space="preserve"> für einen </w:t>
      </w:r>
      <w:r w:rsidR="0040082B" w:rsidRPr="00733A96">
        <w:rPr>
          <w:b/>
          <w:bCs/>
          <w:lang w:val="de-DE"/>
        </w:rPr>
        <w:t>wirksamen Schutz von Intersex-Kindern</w:t>
      </w:r>
      <w:r w:rsidR="0040082B">
        <w:rPr>
          <w:lang w:val="de-DE"/>
        </w:rPr>
        <w:t xml:space="preserve"> vor schweren Verletzungen unabdingbarer Menschenrechte, namentlich</w:t>
      </w:r>
      <w:r w:rsidR="00733A96">
        <w:rPr>
          <w:lang w:val="de-DE"/>
        </w:rPr>
        <w:t xml:space="preserve"> vor</w:t>
      </w:r>
      <w:r w:rsidR="0040082B">
        <w:rPr>
          <w:lang w:val="de-DE"/>
        </w:rPr>
        <w:t xml:space="preserve"> </w:t>
      </w:r>
      <w:r w:rsidR="0040082B" w:rsidRPr="00733A96">
        <w:rPr>
          <w:b/>
          <w:bCs/>
          <w:lang w:val="de-DE"/>
        </w:rPr>
        <w:t>grausame</w:t>
      </w:r>
      <w:r w:rsidR="00733A96">
        <w:rPr>
          <w:b/>
          <w:bCs/>
          <w:lang w:val="de-DE"/>
        </w:rPr>
        <w:t>r</w:t>
      </w:r>
      <w:r w:rsidR="0040082B" w:rsidRPr="00733A96">
        <w:rPr>
          <w:b/>
          <w:bCs/>
          <w:lang w:val="de-DE"/>
        </w:rPr>
        <w:t>, unmenschliche</w:t>
      </w:r>
      <w:r w:rsidR="00733A96">
        <w:rPr>
          <w:b/>
          <w:bCs/>
          <w:lang w:val="de-DE"/>
        </w:rPr>
        <w:t>r</w:t>
      </w:r>
      <w:r w:rsidR="0040082B" w:rsidRPr="00733A96">
        <w:rPr>
          <w:b/>
          <w:bCs/>
          <w:lang w:val="de-DE"/>
        </w:rPr>
        <w:t xml:space="preserve"> oder erniedrige</w:t>
      </w:r>
      <w:r w:rsidR="00442714">
        <w:rPr>
          <w:b/>
          <w:bCs/>
          <w:lang w:val="de-DE"/>
        </w:rPr>
        <w:t>nde</w:t>
      </w:r>
      <w:r w:rsidR="00733A96">
        <w:rPr>
          <w:b/>
          <w:bCs/>
          <w:lang w:val="de-DE"/>
        </w:rPr>
        <w:t>r</w:t>
      </w:r>
      <w:r w:rsidR="0040082B" w:rsidRPr="00733A96">
        <w:rPr>
          <w:b/>
          <w:bCs/>
          <w:lang w:val="de-DE"/>
        </w:rPr>
        <w:t xml:space="preserve"> Behandlung</w:t>
      </w:r>
      <w:r w:rsidR="0040082B">
        <w:rPr>
          <w:lang w:val="de-DE"/>
        </w:rPr>
        <w:t xml:space="preserve"> und</w:t>
      </w:r>
      <w:r w:rsidR="002B296A">
        <w:rPr>
          <w:lang w:val="de-DE"/>
        </w:rPr>
        <w:t xml:space="preserve"> vor</w:t>
      </w:r>
      <w:r w:rsidR="0040082B">
        <w:rPr>
          <w:lang w:val="de-DE"/>
        </w:rPr>
        <w:t xml:space="preserve"> </w:t>
      </w:r>
      <w:r w:rsidR="0040082B" w:rsidRPr="00733A96">
        <w:rPr>
          <w:b/>
          <w:bCs/>
          <w:lang w:val="de-DE"/>
        </w:rPr>
        <w:t>schädliche</w:t>
      </w:r>
      <w:r w:rsidR="00733A96" w:rsidRPr="00733A96">
        <w:rPr>
          <w:b/>
          <w:bCs/>
          <w:lang w:val="de-DE"/>
        </w:rPr>
        <w:t>n</w:t>
      </w:r>
      <w:r w:rsidR="0040082B" w:rsidRPr="00733A96">
        <w:rPr>
          <w:b/>
          <w:bCs/>
          <w:lang w:val="de-DE"/>
        </w:rPr>
        <w:t xml:space="preserve"> kulturelle</w:t>
      </w:r>
      <w:r w:rsidR="00733A96" w:rsidRPr="00733A96">
        <w:rPr>
          <w:b/>
          <w:bCs/>
          <w:lang w:val="de-DE"/>
        </w:rPr>
        <w:t>n</w:t>
      </w:r>
      <w:r w:rsidR="0040082B" w:rsidRPr="00733A96">
        <w:rPr>
          <w:b/>
          <w:bCs/>
          <w:lang w:val="de-DE"/>
        </w:rPr>
        <w:t xml:space="preserve"> Praktiken</w:t>
      </w:r>
      <w:r w:rsidR="00733A96">
        <w:rPr>
          <w:lang w:val="de-DE"/>
        </w:rPr>
        <w:t xml:space="preserve">: </w:t>
      </w:r>
    </w:p>
    <w:p w14:paraId="2708CF80" w14:textId="3D2AF89F" w:rsidR="00CE777A" w:rsidRPr="00595E54" w:rsidRDefault="00442714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>Kriminalisierung oder angemessene Sanktionen</w:t>
      </w:r>
    </w:p>
    <w:p w14:paraId="04685B9D" w14:textId="6E089C39" w:rsidR="00595E54" w:rsidRDefault="00595E54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>
        <w:rPr>
          <w:b/>
          <w:bCs/>
          <w:lang w:val="de-DE"/>
        </w:rPr>
        <w:t xml:space="preserve">Angemessener </w:t>
      </w:r>
      <w:r w:rsidR="000A11D8" w:rsidRPr="00595E54">
        <w:rPr>
          <w:b/>
          <w:bCs/>
          <w:lang w:val="de-DE"/>
        </w:rPr>
        <w:t xml:space="preserve">Rechtszugang für Betroffene </w:t>
      </w:r>
    </w:p>
    <w:p w14:paraId="3490C7DA" w14:textId="71A5E5A8" w:rsidR="000A11D8" w:rsidRPr="00595E54" w:rsidRDefault="00595E54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>
        <w:rPr>
          <w:b/>
          <w:bCs/>
          <w:lang w:val="de-DE"/>
        </w:rPr>
        <w:t xml:space="preserve">Aufhebung oder angemessene </w:t>
      </w:r>
      <w:r w:rsidR="000A11D8" w:rsidRPr="00595E54">
        <w:rPr>
          <w:b/>
          <w:bCs/>
          <w:lang w:val="de-DE"/>
        </w:rPr>
        <w:t>Anpassung der Verjährungsfristen</w:t>
      </w:r>
    </w:p>
    <w:p w14:paraId="5EF8AFD0" w14:textId="777DDB83" w:rsidR="000A11D8" w:rsidRPr="00595E54" w:rsidRDefault="000A11D8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>Recht auf Entschädigung, Wiedergutmachung und Rehabilitierung</w:t>
      </w:r>
      <w:r w:rsidR="002B2710" w:rsidRPr="00595E54">
        <w:rPr>
          <w:b/>
          <w:bCs/>
          <w:lang w:val="de-DE"/>
        </w:rPr>
        <w:t xml:space="preserve"> für Betroffene</w:t>
      </w:r>
    </w:p>
    <w:p w14:paraId="325B2BEC" w14:textId="714662DF" w:rsidR="002B2710" w:rsidRPr="00595E54" w:rsidRDefault="00DC7068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 xml:space="preserve">Bekämpfung der Straflosigkeit, </w:t>
      </w:r>
      <w:r w:rsidR="002B2710" w:rsidRPr="00595E54">
        <w:rPr>
          <w:b/>
          <w:bCs/>
          <w:lang w:val="de-DE"/>
        </w:rPr>
        <w:t xml:space="preserve">Verfolgung und Bestrafung der </w:t>
      </w:r>
      <w:proofErr w:type="spellStart"/>
      <w:r w:rsidR="002B2710" w:rsidRPr="00595E54">
        <w:rPr>
          <w:b/>
          <w:bCs/>
          <w:lang w:val="de-DE"/>
        </w:rPr>
        <w:t>Täter</w:t>
      </w:r>
      <w:r w:rsidRPr="00595E54">
        <w:rPr>
          <w:b/>
          <w:bCs/>
          <w:lang w:val="de-DE"/>
        </w:rPr>
        <w:t>Innen</w:t>
      </w:r>
      <w:proofErr w:type="spellEnd"/>
    </w:p>
    <w:p w14:paraId="657577DC" w14:textId="144B8746" w:rsidR="002B2710" w:rsidRPr="00595E54" w:rsidRDefault="002B2710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 xml:space="preserve">Strafverschärfung </w:t>
      </w:r>
      <w:r w:rsidR="0068699E" w:rsidRPr="00595E54">
        <w:rPr>
          <w:b/>
          <w:bCs/>
          <w:lang w:val="de-DE"/>
        </w:rPr>
        <w:t xml:space="preserve">falls es sich bei </w:t>
      </w:r>
      <w:proofErr w:type="spellStart"/>
      <w:r w:rsidR="0068699E" w:rsidRPr="00595E54">
        <w:rPr>
          <w:b/>
          <w:bCs/>
          <w:lang w:val="de-DE"/>
        </w:rPr>
        <w:t>Täter</w:t>
      </w:r>
      <w:r w:rsidR="00DC7068" w:rsidRPr="00595E54">
        <w:rPr>
          <w:b/>
          <w:bCs/>
          <w:lang w:val="de-DE"/>
        </w:rPr>
        <w:t>Inne</w:t>
      </w:r>
      <w:r w:rsidR="0068699E" w:rsidRPr="00595E54">
        <w:rPr>
          <w:b/>
          <w:bCs/>
          <w:lang w:val="de-DE"/>
        </w:rPr>
        <w:t>n</w:t>
      </w:r>
      <w:proofErr w:type="spellEnd"/>
      <w:r w:rsidR="0068699E" w:rsidRPr="00595E54">
        <w:rPr>
          <w:b/>
          <w:bCs/>
          <w:lang w:val="de-DE"/>
        </w:rPr>
        <w:t xml:space="preserve"> um medizinische Fachkräfte oder </w:t>
      </w:r>
      <w:proofErr w:type="spellStart"/>
      <w:r w:rsidR="0068699E" w:rsidRPr="00595E54">
        <w:rPr>
          <w:b/>
          <w:bCs/>
          <w:lang w:val="de-DE"/>
        </w:rPr>
        <w:t>Regierungsmitarbeiter</w:t>
      </w:r>
      <w:r w:rsidR="00DC7068" w:rsidRPr="00595E54">
        <w:rPr>
          <w:b/>
          <w:bCs/>
          <w:lang w:val="de-DE"/>
        </w:rPr>
        <w:t>Innen</w:t>
      </w:r>
      <w:proofErr w:type="spellEnd"/>
      <w:r w:rsidR="0068699E" w:rsidRPr="00595E54">
        <w:rPr>
          <w:b/>
          <w:bCs/>
          <w:lang w:val="de-DE"/>
        </w:rPr>
        <w:t xml:space="preserve"> handelt</w:t>
      </w:r>
    </w:p>
    <w:p w14:paraId="0E723675" w14:textId="29B2EDE0" w:rsidR="00C75399" w:rsidRPr="00595E54" w:rsidRDefault="00C75399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 xml:space="preserve">Monitoring und Erhebung </w:t>
      </w:r>
      <w:proofErr w:type="spellStart"/>
      <w:r w:rsidRPr="00595E54">
        <w:rPr>
          <w:b/>
          <w:bCs/>
          <w:lang w:val="de-DE"/>
        </w:rPr>
        <w:t>di</w:t>
      </w:r>
      <w:r w:rsidR="00AF6A67">
        <w:rPr>
          <w:b/>
          <w:bCs/>
          <w:lang w:val="de-DE"/>
        </w:rPr>
        <w:t>sagg</w:t>
      </w:r>
      <w:r w:rsidRPr="00595E54">
        <w:rPr>
          <w:b/>
          <w:bCs/>
          <w:lang w:val="de-DE"/>
        </w:rPr>
        <w:t>regierter</w:t>
      </w:r>
      <w:proofErr w:type="spellEnd"/>
      <w:r w:rsidRPr="00595E54">
        <w:rPr>
          <w:b/>
          <w:bCs/>
          <w:lang w:val="de-DE"/>
        </w:rPr>
        <w:t xml:space="preserve"> </w:t>
      </w:r>
      <w:r w:rsidR="006524F3" w:rsidRPr="00595E54">
        <w:rPr>
          <w:b/>
          <w:bCs/>
          <w:lang w:val="de-DE"/>
        </w:rPr>
        <w:t xml:space="preserve">Daten </w:t>
      </w:r>
      <w:r w:rsidR="00595E54">
        <w:rPr>
          <w:b/>
          <w:bCs/>
          <w:lang w:val="de-DE"/>
        </w:rPr>
        <w:t>über</w:t>
      </w:r>
      <w:r w:rsidR="006524F3" w:rsidRPr="00595E54">
        <w:rPr>
          <w:b/>
          <w:bCs/>
          <w:lang w:val="de-DE"/>
        </w:rPr>
        <w:t xml:space="preserve"> Verstöße und Verfolgungen</w:t>
      </w:r>
    </w:p>
    <w:p w14:paraId="69E75299" w14:textId="69968090" w:rsidR="00E405E1" w:rsidRDefault="00E405E1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 w:rsidRPr="00595E54">
        <w:rPr>
          <w:b/>
          <w:bCs/>
          <w:lang w:val="de-DE"/>
        </w:rPr>
        <w:t>Schutz vor extraterritorialen Verstößen</w:t>
      </w:r>
      <w:bookmarkStart w:id="0" w:name="_GoBack"/>
      <w:bookmarkEnd w:id="0"/>
    </w:p>
    <w:p w14:paraId="4DCF0DEC" w14:textId="61971D9E" w:rsidR="00EB14F4" w:rsidRDefault="00EB14F4" w:rsidP="00442714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>
        <w:rPr>
          <w:b/>
          <w:bCs/>
          <w:lang w:val="de-DE"/>
        </w:rPr>
        <w:t xml:space="preserve">Angemessene </w:t>
      </w:r>
      <w:r w:rsidRPr="00EB14F4">
        <w:rPr>
          <w:b/>
          <w:bCs/>
          <w:lang w:val="de-DE"/>
        </w:rPr>
        <w:t>Beteiligung der Opfer am Wiedergutmachungsprozess</w:t>
      </w:r>
    </w:p>
    <w:p w14:paraId="71DEDBBE" w14:textId="46D58BCD" w:rsidR="0016348A" w:rsidRPr="0076729A" w:rsidRDefault="00CC61D8" w:rsidP="0076729A">
      <w:pPr>
        <w:pStyle w:val="absatzschattenbericht"/>
        <w:numPr>
          <w:ilvl w:val="0"/>
          <w:numId w:val="23"/>
        </w:numPr>
        <w:rPr>
          <w:b/>
          <w:bCs/>
          <w:lang w:val="de-DE"/>
        </w:rPr>
      </w:pPr>
      <w:r>
        <w:rPr>
          <w:b/>
          <w:bCs/>
          <w:lang w:val="de-DE"/>
        </w:rPr>
        <w:t>Wiederherstellung der Würde der Opfer</w:t>
      </w:r>
    </w:p>
    <w:p w14:paraId="1AD28F1C" w14:textId="07FDD474" w:rsidR="0076729A" w:rsidRDefault="0076729A" w:rsidP="007A483E">
      <w:pPr>
        <w:pStyle w:val="absatzschattenbericht"/>
        <w:rPr>
          <w:lang w:val="de-DE"/>
        </w:rPr>
      </w:pPr>
      <w:r>
        <w:rPr>
          <w:lang w:val="de-DE"/>
        </w:rPr>
        <w:t xml:space="preserve">Leider </w:t>
      </w:r>
      <w:r w:rsidR="00A001E8">
        <w:rPr>
          <w:lang w:val="de-DE"/>
        </w:rPr>
        <w:t>berücksichtigt</w:t>
      </w:r>
      <w:r>
        <w:rPr>
          <w:lang w:val="de-DE"/>
        </w:rPr>
        <w:t xml:space="preserve"> 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</w:t>
      </w:r>
      <w:r w:rsidR="00A001E8">
        <w:rPr>
          <w:lang w:val="de-DE"/>
        </w:rPr>
        <w:t xml:space="preserve">keine einzige dieser </w:t>
      </w:r>
      <w:r w:rsidR="00F8745B">
        <w:rPr>
          <w:lang w:val="de-DE"/>
        </w:rPr>
        <w:t xml:space="preserve">grund- und menschenrechtlichen </w:t>
      </w:r>
      <w:r w:rsidR="00A001E8">
        <w:rPr>
          <w:lang w:val="de-DE"/>
        </w:rPr>
        <w:t>Mindestanforderungen</w:t>
      </w:r>
      <w:r w:rsidR="00F8745B">
        <w:rPr>
          <w:lang w:val="de-DE"/>
        </w:rPr>
        <w:t xml:space="preserve">. </w:t>
      </w:r>
    </w:p>
    <w:p w14:paraId="163EDC74" w14:textId="77777777" w:rsidR="006C727E" w:rsidRDefault="006C727E">
      <w:pPr>
        <w:spacing w:after="0" w:line="240" w:lineRule="auto"/>
        <w:rPr>
          <w:rFonts w:ascii="Times New Roman" w:eastAsia="Baskerville" w:hAnsi="Times New Roman" w:cs="Baskerville"/>
          <w:color w:val="000000"/>
          <w:spacing w:val="2"/>
          <w:kern w:val="1"/>
          <w:sz w:val="24"/>
          <w:szCs w:val="24"/>
          <w:lang w:val="de-DE" w:eastAsia="zh-CN" w:bidi="hi-IN"/>
        </w:rPr>
      </w:pPr>
      <w:r>
        <w:rPr>
          <w:rFonts w:ascii="Times New Roman" w:eastAsia="Baskerville" w:hAnsi="Times New Roman" w:cs="Baskerville"/>
          <w:b/>
          <w:bCs/>
          <w:iCs/>
          <w:color w:val="000000"/>
          <w:szCs w:val="24"/>
          <w:lang w:val="de-DE"/>
        </w:rPr>
        <w:br w:type="page"/>
      </w:r>
    </w:p>
    <w:p w14:paraId="7C53D4D8" w14:textId="1D6DBED6" w:rsidR="0016348A" w:rsidRPr="008A1A51" w:rsidRDefault="0016348A" w:rsidP="0016348A">
      <w:pPr>
        <w:pStyle w:val="Title2"/>
        <w:rPr>
          <w:lang w:val="de-DE"/>
        </w:rPr>
      </w:pPr>
      <w:r w:rsidRPr="008A1A51">
        <w:rPr>
          <w:lang w:val="de-DE"/>
        </w:rPr>
        <w:lastRenderedPageBreak/>
        <w:t>5.</w:t>
      </w:r>
      <w:r w:rsidR="00A007F8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 </w:t>
      </w:r>
      <w:r w:rsidR="00BF4660" w:rsidRPr="008A1A51">
        <w:rPr>
          <w:lang w:val="de-DE"/>
        </w:rPr>
        <w:t>Einseitiger Fokus auf entwürdigende und stigmatisierende medizinische Sicht,</w:t>
      </w:r>
      <w:r w:rsidR="00BF4660" w:rsidRPr="008A1A51">
        <w:rPr>
          <w:lang w:val="de-DE"/>
        </w:rPr>
        <w:br/>
        <w:t xml:space="preserve">     Ausgrenzung psychosozialer, menschenrechtlicher und Erfahrungsexpertise</w:t>
      </w:r>
    </w:p>
    <w:p w14:paraId="7688E205" w14:textId="050ECD21" w:rsidR="0016348A" w:rsidRDefault="00F76CC5" w:rsidP="006B5EC9">
      <w:pPr>
        <w:pStyle w:val="absatzschattenbericht"/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RefE</w:t>
      </w:r>
      <w:proofErr w:type="spellEnd"/>
      <w:r>
        <w:rPr>
          <w:lang w:val="de-DE"/>
        </w:rPr>
        <w:t xml:space="preserve"> verwendet durchgehend </w:t>
      </w:r>
      <w:r w:rsidR="00353F68" w:rsidRPr="00E9045D">
        <w:rPr>
          <w:b/>
          <w:bCs/>
          <w:lang w:val="de-DE"/>
        </w:rPr>
        <w:t>entwürdigende und stigmatisierende Ausdrücke</w:t>
      </w:r>
      <w:r w:rsidR="00353F68">
        <w:rPr>
          <w:lang w:val="de-DE"/>
        </w:rPr>
        <w:t xml:space="preserve"> wie </w:t>
      </w:r>
      <w:r w:rsidR="006B5EC9">
        <w:rPr>
          <w:lang w:val="de-DE"/>
        </w:rPr>
        <w:t>“etwa an einem nur fehlgebildeten Genital” (S. 11, 24), “Fehlbildung des männlichen Genitals” (S. 25)</w:t>
      </w:r>
      <w:r w:rsidR="00CB4079">
        <w:rPr>
          <w:lang w:val="de-DE"/>
        </w:rPr>
        <w:t>, “Fehlbildungen des Urogenitalsystems” (S. 28)</w:t>
      </w:r>
      <w:r w:rsidR="001726B4">
        <w:rPr>
          <w:lang w:val="de-DE"/>
        </w:rPr>
        <w:t xml:space="preserve">, </w:t>
      </w:r>
      <w:r w:rsidR="00E9045D">
        <w:rPr>
          <w:lang w:val="de-DE"/>
        </w:rPr>
        <w:t>“</w:t>
      </w:r>
      <w:proofErr w:type="spellStart"/>
      <w:r w:rsidR="00E9045D">
        <w:rPr>
          <w:lang w:val="de-DE"/>
        </w:rPr>
        <w:t>Fehlbildungsmonitoring</w:t>
      </w:r>
      <w:proofErr w:type="spellEnd"/>
      <w:r w:rsidR="00E9045D">
        <w:rPr>
          <w:lang w:val="de-DE"/>
        </w:rPr>
        <w:t xml:space="preserve">” (S. 10, 17), </w:t>
      </w:r>
      <w:r w:rsidR="006A02E3">
        <w:rPr>
          <w:lang w:val="de-DE"/>
        </w:rPr>
        <w:t>u.a.m.</w:t>
      </w:r>
    </w:p>
    <w:p w14:paraId="6566A128" w14:textId="39008005" w:rsidR="0016348A" w:rsidRDefault="00446DA4" w:rsidP="00446DA4">
      <w:pPr>
        <w:pStyle w:val="absatzschattenbericht"/>
        <w:rPr>
          <w:lang w:val="de-DE"/>
        </w:rPr>
      </w:pPr>
      <w:r>
        <w:rPr>
          <w:lang w:val="de-DE"/>
        </w:rPr>
        <w:t xml:space="preserve">Auch die durchgehende </w:t>
      </w:r>
      <w:r w:rsidRPr="008A1A51">
        <w:rPr>
          <w:lang w:val="de-DE"/>
        </w:rPr>
        <w:t>Pseudo-Unterscheidung zwischen “geschlechtsangleichenden” und “geschlechtsverändernden” Eingriffen</w:t>
      </w:r>
      <w:r>
        <w:rPr>
          <w:lang w:val="de-DE"/>
        </w:rPr>
        <w:t xml:space="preserve"> ist inhärent entwürdigend, vgl. Beate Rudolf 2012 am </w:t>
      </w:r>
      <w:r w:rsidRPr="00410B61">
        <w:rPr>
          <w:b/>
          <w:bCs/>
          <w:lang w:val="de-DE"/>
        </w:rPr>
        <w:t xml:space="preserve">“Fachgespräch auf </w:t>
      </w:r>
      <w:proofErr w:type="spellStart"/>
      <w:r w:rsidRPr="00410B61">
        <w:rPr>
          <w:b/>
          <w:bCs/>
          <w:lang w:val="de-DE"/>
        </w:rPr>
        <w:t>Berichterstatterebene</w:t>
      </w:r>
      <w:proofErr w:type="spellEnd"/>
      <w:r w:rsidRPr="00410B61">
        <w:rPr>
          <w:b/>
          <w:bCs/>
          <w:lang w:val="de-DE"/>
        </w:rPr>
        <w:t xml:space="preserve"> zum Thema ‘Empfehlungen internationaler Gremien zu den Menschenrechten intersexueller Menschen’”</w:t>
      </w:r>
      <w:r w:rsidRPr="008A1A51">
        <w:rPr>
          <w:lang w:val="de-DE"/>
        </w:rPr>
        <w:t xml:space="preserve"> im </w:t>
      </w:r>
      <w:r w:rsidRPr="00410B61">
        <w:rPr>
          <w:b/>
          <w:bCs/>
          <w:lang w:val="de-DE"/>
        </w:rPr>
        <w:t xml:space="preserve">Bundestags-Ausschuss für Familien, Senioren, Frauen und Jugend </w:t>
      </w:r>
      <w:r>
        <w:rPr>
          <w:lang w:val="de-DE"/>
        </w:rPr>
        <w:t>(vgl. Protokoll, S. 9):</w:t>
      </w:r>
      <w:r w:rsidRPr="008A1A51">
        <w:rPr>
          <w:rStyle w:val="Funotenzeichen"/>
          <w:lang w:val="de-DE"/>
        </w:rPr>
        <w:footnoteReference w:id="13"/>
      </w:r>
    </w:p>
    <w:p w14:paraId="6D64BB8E" w14:textId="0E3234D1" w:rsidR="00446DA4" w:rsidRPr="00446DA4" w:rsidRDefault="00446DA4" w:rsidP="00446DA4">
      <w:pPr>
        <w:pStyle w:val="absatzschattenbericht"/>
        <w:ind w:left="284"/>
        <w:rPr>
          <w:i/>
          <w:iCs/>
          <w:lang w:val="de-CH"/>
        </w:rPr>
      </w:pPr>
      <w:r>
        <w:rPr>
          <w:i/>
          <w:iCs/>
          <w:lang w:val="de-CH"/>
        </w:rPr>
        <w:t>“</w:t>
      </w:r>
      <w:r w:rsidRPr="00446DA4">
        <w:rPr>
          <w:i/>
          <w:iCs/>
          <w:lang w:val="de-CH"/>
        </w:rPr>
        <w:t xml:space="preserve">dass es bei intersexuellen Menschen um Menschen gehe, die man zwar als intersexuell kategorisieren </w:t>
      </w:r>
      <w:proofErr w:type="spellStart"/>
      <w:r w:rsidRPr="00446DA4">
        <w:rPr>
          <w:i/>
          <w:iCs/>
          <w:lang w:val="de-CH"/>
        </w:rPr>
        <w:t>könne</w:t>
      </w:r>
      <w:proofErr w:type="spellEnd"/>
      <w:r w:rsidRPr="00446DA4">
        <w:rPr>
          <w:i/>
          <w:iCs/>
          <w:lang w:val="de-CH"/>
        </w:rPr>
        <w:t>, die man aber nicht defizitorientiert betrachte</w:t>
      </w:r>
      <w:r>
        <w:rPr>
          <w:i/>
          <w:iCs/>
          <w:lang w:val="de-CH"/>
        </w:rPr>
        <w:t>[n sollte]</w:t>
      </w:r>
      <w:r w:rsidRPr="00446DA4">
        <w:rPr>
          <w:i/>
          <w:iCs/>
          <w:lang w:val="de-CH"/>
        </w:rPr>
        <w:t xml:space="preserve">. Der Begriff Geschlechtsangleichung suggeriere aber das Vorhandensein eines Defizits. Hierbei werde unterstellt, dass ein Mensch eigentlich ein Geschlecht habe, dieses aber nicht richtig </w:t>
      </w:r>
      <w:proofErr w:type="spellStart"/>
      <w:r w:rsidRPr="00446DA4">
        <w:rPr>
          <w:i/>
          <w:iCs/>
          <w:lang w:val="de-CH"/>
        </w:rPr>
        <w:t>ausgeprägt</w:t>
      </w:r>
      <w:proofErr w:type="spellEnd"/>
      <w:r w:rsidRPr="00446DA4">
        <w:rPr>
          <w:i/>
          <w:iCs/>
          <w:lang w:val="de-CH"/>
        </w:rPr>
        <w:t xml:space="preserve"> sei und deshalb angeglichen werden </w:t>
      </w:r>
      <w:proofErr w:type="spellStart"/>
      <w:r w:rsidRPr="00446DA4">
        <w:rPr>
          <w:i/>
          <w:iCs/>
          <w:lang w:val="de-CH"/>
        </w:rPr>
        <w:t>müsse</w:t>
      </w:r>
      <w:proofErr w:type="spellEnd"/>
      <w:r w:rsidRPr="00446DA4">
        <w:rPr>
          <w:i/>
          <w:iCs/>
          <w:lang w:val="de-CH"/>
        </w:rPr>
        <w:t>.</w:t>
      </w:r>
      <w:r>
        <w:rPr>
          <w:i/>
          <w:iCs/>
          <w:lang w:val="de-CH"/>
        </w:rPr>
        <w:t>”</w:t>
      </w:r>
    </w:p>
    <w:p w14:paraId="44264D9E" w14:textId="7A406186" w:rsidR="0016348A" w:rsidRPr="008A1A51" w:rsidRDefault="00957465" w:rsidP="00087428">
      <w:pPr>
        <w:pStyle w:val="absatzschattenbericht"/>
        <w:rPr>
          <w:lang w:val="de-DE"/>
        </w:rPr>
      </w:pPr>
      <w:r>
        <w:rPr>
          <w:lang w:val="de-DE"/>
        </w:rPr>
        <w:t xml:space="preserve">Dazu kommt, </w:t>
      </w:r>
      <w:r w:rsidR="002D1D01">
        <w:rPr>
          <w:lang w:val="de-DE"/>
        </w:rPr>
        <w:t xml:space="preserve">dass der </w:t>
      </w:r>
      <w:proofErr w:type="spellStart"/>
      <w:r w:rsidR="002D1D01">
        <w:rPr>
          <w:lang w:val="de-DE"/>
        </w:rPr>
        <w:t>RefE</w:t>
      </w:r>
      <w:proofErr w:type="spellEnd"/>
      <w:r w:rsidR="002D1D01">
        <w:rPr>
          <w:lang w:val="de-DE"/>
        </w:rPr>
        <w:t xml:space="preserve"> auch bei</w:t>
      </w:r>
      <w:r w:rsidR="00E81208">
        <w:rPr>
          <w:lang w:val="de-DE"/>
        </w:rPr>
        <w:t xml:space="preserve">m </w:t>
      </w:r>
      <w:r w:rsidR="002D1D01">
        <w:rPr>
          <w:lang w:val="de-DE"/>
        </w:rPr>
        <w:t>vorgeschlagenen</w:t>
      </w:r>
      <w:r w:rsidR="008F413A">
        <w:rPr>
          <w:lang w:val="de-DE"/>
        </w:rPr>
        <w:t>, ohnehin fragwürdigen (siehe oben)</w:t>
      </w:r>
      <w:r w:rsidR="002D1D01">
        <w:rPr>
          <w:lang w:val="de-DE"/>
        </w:rPr>
        <w:t xml:space="preserve"> </w:t>
      </w:r>
      <w:r w:rsidR="00E81208" w:rsidRPr="00E81208">
        <w:rPr>
          <w:b/>
          <w:bCs/>
          <w:lang w:val="de-DE"/>
        </w:rPr>
        <w:t>familiengerichtlichen Genehmigungsverfahren</w:t>
      </w:r>
      <w:r w:rsidR="00E81208" w:rsidRPr="00FA5D1A">
        <w:rPr>
          <w:b/>
          <w:bCs/>
          <w:lang w:val="de-DE"/>
        </w:rPr>
        <w:t xml:space="preserve"> </w:t>
      </w:r>
      <w:r w:rsidR="00A26356" w:rsidRPr="00A26356">
        <w:rPr>
          <w:lang w:val="de-DE"/>
        </w:rPr>
        <w:t xml:space="preserve">einseitig auf </w:t>
      </w:r>
      <w:r w:rsidR="00A26356" w:rsidRPr="00A26356">
        <w:rPr>
          <w:b/>
          <w:bCs/>
          <w:lang w:val="de-DE"/>
        </w:rPr>
        <w:t xml:space="preserve">entwürdigende, stigmatisierende und </w:t>
      </w:r>
      <w:proofErr w:type="spellStart"/>
      <w:r w:rsidR="00A26356" w:rsidRPr="00A26356">
        <w:rPr>
          <w:b/>
          <w:bCs/>
          <w:lang w:val="de-DE"/>
        </w:rPr>
        <w:t>pathologisierende</w:t>
      </w:r>
      <w:proofErr w:type="spellEnd"/>
      <w:r w:rsidR="00A26356" w:rsidRPr="00A26356">
        <w:rPr>
          <w:b/>
          <w:bCs/>
          <w:lang w:val="de-DE"/>
        </w:rPr>
        <w:t xml:space="preserve"> medizinische Sichtweise und Expertise</w:t>
      </w:r>
      <w:r w:rsidR="00A26356" w:rsidRPr="00A26356">
        <w:rPr>
          <w:lang w:val="de-DE"/>
        </w:rPr>
        <w:t xml:space="preserve"> abstellt</w:t>
      </w:r>
      <w:r w:rsidR="00087428">
        <w:rPr>
          <w:lang w:val="de-DE"/>
        </w:rPr>
        <w:t xml:space="preserve"> (S. 34)</w:t>
      </w:r>
      <w:r w:rsidR="00A26356" w:rsidRPr="00A26356">
        <w:rPr>
          <w:lang w:val="de-DE"/>
        </w:rPr>
        <w:t xml:space="preserve">, während </w:t>
      </w:r>
      <w:r w:rsidR="00A26356" w:rsidRPr="00A26356">
        <w:rPr>
          <w:b/>
          <w:bCs/>
          <w:lang w:val="de-DE"/>
        </w:rPr>
        <w:t xml:space="preserve">psychosoziale, menschenrechtliche und Erfahrungsexpertise und -unterstützung wie gehabt ausgegrenzt </w:t>
      </w:r>
      <w:r w:rsidR="00A26356" w:rsidRPr="00A26356">
        <w:rPr>
          <w:lang w:val="de-DE"/>
        </w:rPr>
        <w:t>werden</w:t>
      </w:r>
      <w:r w:rsidR="00087428">
        <w:rPr>
          <w:lang w:val="de-DE"/>
        </w:rPr>
        <w:t>.</w:t>
      </w:r>
    </w:p>
    <w:p w14:paraId="272E5F51" w14:textId="390B7613" w:rsidR="0016348A" w:rsidRPr="00FE1545" w:rsidRDefault="0016348A" w:rsidP="007A483E">
      <w:pPr>
        <w:pStyle w:val="absatzschattenbericht"/>
        <w:rPr>
          <w:sz w:val="12"/>
          <w:szCs w:val="12"/>
          <w:lang w:val="de-DE"/>
        </w:rPr>
      </w:pPr>
    </w:p>
    <w:p w14:paraId="06B0780C" w14:textId="72317AC5" w:rsidR="00933DAD" w:rsidRPr="008A1A51" w:rsidRDefault="006575D4" w:rsidP="008200CA">
      <w:pPr>
        <w:pStyle w:val="Title2"/>
        <w:rPr>
          <w:lang w:val="de-DE"/>
        </w:rPr>
      </w:pPr>
      <w:r w:rsidRPr="008A1A51">
        <w:rPr>
          <w:lang w:val="de-DE"/>
        </w:rPr>
        <w:t xml:space="preserve">Zwischengeschlecht.org – </w:t>
      </w:r>
      <w:r w:rsidR="008200CA" w:rsidRPr="008A1A51">
        <w:rPr>
          <w:lang w:val="de-DE"/>
        </w:rPr>
        <w:t>Wer wir sind</w:t>
      </w:r>
    </w:p>
    <w:p w14:paraId="62DF73BD" w14:textId="06B35778" w:rsidR="00933DAD" w:rsidRPr="008A1A51" w:rsidRDefault="00933DAD" w:rsidP="00605FC6">
      <w:pPr>
        <w:pStyle w:val="absatzschattenbericht"/>
        <w:rPr>
          <w:lang w:val="de-DE"/>
        </w:rPr>
      </w:pPr>
      <w:r w:rsidRPr="008A1A51">
        <w:rPr>
          <w:lang w:val="de-DE"/>
        </w:rPr>
        <w:t>Zwischengeschlecht.or</w:t>
      </w:r>
      <w:r w:rsidR="007210EC" w:rsidRPr="008A1A51">
        <w:rPr>
          <w:lang w:val="de-DE"/>
        </w:rPr>
        <w:t>g / StopIGM.org</w:t>
      </w:r>
      <w:r w:rsidR="001D681C" w:rsidRPr="008A1A51">
        <w:rPr>
          <w:lang w:val="de-DE"/>
        </w:rPr>
        <w:t>, gegründet 2007,</w:t>
      </w:r>
      <w:r w:rsidR="007210EC" w:rsidRPr="008A1A51">
        <w:rPr>
          <w:lang w:val="de-DE"/>
        </w:rPr>
        <w:t xml:space="preserve"> </w:t>
      </w:r>
      <w:r w:rsidRPr="008A1A51">
        <w:rPr>
          <w:lang w:val="de-DE"/>
        </w:rPr>
        <w:t xml:space="preserve">ist eine internationale Intersex-Menschenrechts-NGO mit </w:t>
      </w:r>
      <w:r w:rsidR="00E711C6" w:rsidRPr="008A1A51">
        <w:rPr>
          <w:b/>
          <w:bCs/>
          <w:lang w:val="de-DE"/>
        </w:rPr>
        <w:t>deutschen Mitgliedern und Unterstütze</w:t>
      </w:r>
      <w:r w:rsidR="001D681C" w:rsidRPr="008A1A51">
        <w:rPr>
          <w:b/>
          <w:bCs/>
          <w:lang w:val="de-DE"/>
        </w:rPr>
        <w:t>nden</w:t>
      </w:r>
      <w:r w:rsidR="00E711C6" w:rsidRPr="008A1A51">
        <w:rPr>
          <w:lang w:val="de-DE"/>
        </w:rPr>
        <w:t xml:space="preserve"> und</w:t>
      </w:r>
      <w:r w:rsidRPr="008A1A51">
        <w:rPr>
          <w:lang w:val="de-DE"/>
        </w:rPr>
        <w:t xml:space="preserve"> Sitz in der Schweiz, die sich für die Beendigung </w:t>
      </w:r>
      <w:r w:rsidR="00E711C6" w:rsidRPr="008A1A51">
        <w:rPr>
          <w:lang w:val="de-DE"/>
        </w:rPr>
        <w:t>von Intersex-Genitalverstümmelungen (IGM)</w:t>
      </w:r>
      <w:r w:rsidRPr="008A1A51">
        <w:rPr>
          <w:lang w:val="de-DE"/>
        </w:rPr>
        <w:t xml:space="preserve"> und anderer </w:t>
      </w:r>
      <w:r w:rsidR="00E711C6" w:rsidRPr="008A1A51">
        <w:rPr>
          <w:lang w:val="de-DE"/>
        </w:rPr>
        <w:t>schwerwiegende</w:t>
      </w:r>
      <w:r w:rsidR="00A56930" w:rsidRPr="008A1A51">
        <w:rPr>
          <w:lang w:val="de-DE"/>
        </w:rPr>
        <w:t>r</w:t>
      </w:r>
      <w:r w:rsidR="00E711C6" w:rsidRPr="008A1A51">
        <w:rPr>
          <w:lang w:val="de-DE"/>
        </w:rPr>
        <w:t xml:space="preserve"> </w:t>
      </w:r>
      <w:r w:rsidRPr="008A1A51">
        <w:rPr>
          <w:lang w:val="de-DE"/>
        </w:rPr>
        <w:t>Menschenrechtsverletzungen an Intersex-</w:t>
      </w:r>
      <w:r w:rsidR="00E711C6" w:rsidRPr="008A1A51">
        <w:rPr>
          <w:lang w:val="de-DE"/>
        </w:rPr>
        <w:t>Menschen</w:t>
      </w:r>
      <w:r w:rsidRPr="008A1A51">
        <w:rPr>
          <w:lang w:val="de-DE"/>
        </w:rPr>
        <w:t xml:space="preserve"> einsetzt, gemäß </w:t>
      </w:r>
      <w:r w:rsidR="00A56930" w:rsidRPr="008A1A51">
        <w:rPr>
          <w:lang w:val="de-DE"/>
        </w:rPr>
        <w:t>unserem</w:t>
      </w:r>
      <w:r w:rsidRPr="008A1A51">
        <w:rPr>
          <w:lang w:val="de-DE"/>
        </w:rPr>
        <w:t xml:space="preserve"> Motto </w:t>
      </w:r>
      <w:r w:rsidR="008200CA" w:rsidRPr="008A1A51">
        <w:rPr>
          <w:lang w:val="de-DE"/>
        </w:rPr>
        <w:t>“</w:t>
      </w:r>
      <w:r w:rsidRPr="008A1A51">
        <w:rPr>
          <w:lang w:val="de-DE"/>
        </w:rPr>
        <w:t>Menschenrechte auch für Zwitter!</w:t>
      </w:r>
      <w:r w:rsidR="008200CA" w:rsidRPr="008A1A51">
        <w:rPr>
          <w:lang w:val="de-DE"/>
        </w:rPr>
        <w:t>”</w:t>
      </w:r>
      <w:r w:rsidR="00A56930" w:rsidRPr="008A1A51">
        <w:rPr>
          <w:rStyle w:val="Funotenzeichen"/>
          <w:lang w:val="de-DE"/>
        </w:rPr>
        <w:footnoteReference w:id="14"/>
      </w:r>
      <w:r w:rsidR="00A56930" w:rsidRPr="008A1A51">
        <w:rPr>
          <w:lang w:val="de-DE"/>
        </w:rPr>
        <w:t xml:space="preserve"> Laut </w:t>
      </w:r>
      <w:r w:rsidRPr="008A1A51">
        <w:rPr>
          <w:lang w:val="de-DE"/>
        </w:rPr>
        <w:t>Satzung</w:t>
      </w:r>
      <w:r w:rsidR="00A56930" w:rsidRPr="008A1A51">
        <w:rPr>
          <w:rStyle w:val="Funotenzeichen"/>
          <w:lang w:val="de-DE"/>
        </w:rPr>
        <w:footnoteReference w:id="15"/>
      </w:r>
      <w:r w:rsidRPr="008A1A51">
        <w:rPr>
          <w:lang w:val="de-DE"/>
        </w:rPr>
        <w:t xml:space="preserve"> </w:t>
      </w:r>
      <w:r w:rsidR="00A56930" w:rsidRPr="008A1A51">
        <w:rPr>
          <w:lang w:val="de-DE"/>
        </w:rPr>
        <w:t>unterstützt</w:t>
      </w:r>
      <w:r w:rsidRPr="008A1A51">
        <w:rPr>
          <w:lang w:val="de-DE"/>
        </w:rPr>
        <w:t xml:space="preserve"> </w:t>
      </w:r>
      <w:r w:rsidR="009D75FA" w:rsidRPr="008A1A51">
        <w:rPr>
          <w:lang w:val="de-DE"/>
        </w:rPr>
        <w:t>Zwischengeschlecht</w:t>
      </w:r>
      <w:r w:rsidRPr="008A1A51">
        <w:rPr>
          <w:lang w:val="de-DE"/>
        </w:rPr>
        <w:t>.org Betroffen</w:t>
      </w:r>
      <w:r w:rsidR="00A56930" w:rsidRPr="008A1A51">
        <w:rPr>
          <w:lang w:val="de-DE"/>
        </w:rPr>
        <w:t>e</w:t>
      </w:r>
      <w:r w:rsidRPr="008A1A51">
        <w:rPr>
          <w:lang w:val="de-DE"/>
        </w:rPr>
        <w:t>, die Rechtsmittel und Gerechtigkeit suchen</w:t>
      </w:r>
      <w:r w:rsidR="008200CA" w:rsidRPr="008A1A51">
        <w:rPr>
          <w:lang w:val="de-DE"/>
        </w:rPr>
        <w:t>.</w:t>
      </w:r>
      <w:r w:rsidRPr="008A1A51">
        <w:rPr>
          <w:lang w:val="de-DE"/>
        </w:rPr>
        <w:t xml:space="preserve"> </w:t>
      </w:r>
      <w:r w:rsidR="008200CA" w:rsidRPr="008A1A51">
        <w:rPr>
          <w:lang w:val="de-DE"/>
        </w:rPr>
        <w:t>Wir</w:t>
      </w:r>
      <w:r w:rsidRPr="008A1A51">
        <w:rPr>
          <w:lang w:val="de-DE"/>
        </w:rPr>
        <w:t xml:space="preserve"> erstatte</w:t>
      </w:r>
      <w:r w:rsidR="008200CA" w:rsidRPr="008A1A51">
        <w:rPr>
          <w:lang w:val="de-DE"/>
        </w:rPr>
        <w:t>n</w:t>
      </w:r>
      <w:r w:rsidRPr="008A1A51">
        <w:rPr>
          <w:lang w:val="de-DE"/>
        </w:rPr>
        <w:t xml:space="preserve"> </w:t>
      </w:r>
      <w:r w:rsidR="001D681C" w:rsidRPr="008A1A51">
        <w:rPr>
          <w:lang w:val="de-DE"/>
        </w:rPr>
        <w:t xml:space="preserve">weltweit </w:t>
      </w:r>
      <w:r w:rsidR="008200CA" w:rsidRPr="008A1A51">
        <w:rPr>
          <w:lang w:val="de-DE"/>
        </w:rPr>
        <w:t xml:space="preserve">regelmäßig </w:t>
      </w:r>
      <w:r w:rsidRPr="008A1A51">
        <w:rPr>
          <w:lang w:val="de-DE"/>
        </w:rPr>
        <w:t>UN-Vertragsorganen Bericht, oft in Zusammenarbeit mit lokalen Intersex-Aktivisten und NGOs.</w:t>
      </w:r>
      <w:r w:rsidR="00A56930" w:rsidRPr="008A1A51">
        <w:rPr>
          <w:rStyle w:val="Funotenzeichen"/>
          <w:lang w:val="de-DE"/>
        </w:rPr>
        <w:footnoteReference w:id="16"/>
      </w:r>
      <w:r w:rsidR="008200CA" w:rsidRPr="008A1A51">
        <w:rPr>
          <w:lang w:val="de-DE"/>
        </w:rPr>
        <w:t xml:space="preserve"> </w:t>
      </w:r>
      <w:r w:rsidR="0000751C" w:rsidRPr="008A1A51">
        <w:rPr>
          <w:lang w:val="de-DE"/>
        </w:rPr>
        <w:t xml:space="preserve">Hauptsächlich aufgrund unserer Schattenberichte verurteilten UN-Ausschüsse </w:t>
      </w:r>
      <w:r w:rsidR="001D681C" w:rsidRPr="008A1A51">
        <w:rPr>
          <w:lang w:val="de-DE"/>
        </w:rPr>
        <w:t>aktuell</w:t>
      </w:r>
      <w:r w:rsidR="0000751C" w:rsidRPr="008A1A51">
        <w:rPr>
          <w:lang w:val="de-DE"/>
        </w:rPr>
        <w:t xml:space="preserve"> 49-mal IGM-Praktiken </w:t>
      </w:r>
      <w:r w:rsidR="006A4F95" w:rsidRPr="008A1A51">
        <w:rPr>
          <w:lang w:val="de-DE"/>
        </w:rPr>
        <w:t xml:space="preserve">in 26 Ländern </w:t>
      </w:r>
      <w:r w:rsidR="0000751C" w:rsidRPr="008A1A51">
        <w:rPr>
          <w:lang w:val="de-DE"/>
        </w:rPr>
        <w:t>als eine schwere Verletzung unabdingbarer Menschenrechte.</w:t>
      </w:r>
      <w:r w:rsidR="0000751C" w:rsidRPr="008A1A51">
        <w:rPr>
          <w:rStyle w:val="Funotenzeichen"/>
          <w:lang w:val="de-DE"/>
        </w:rPr>
        <w:footnoteReference w:id="17"/>
      </w:r>
    </w:p>
    <w:p w14:paraId="3167F84C" w14:textId="3EBDDF3C" w:rsidR="00933DAD" w:rsidRPr="008A1A51" w:rsidRDefault="009D75FA" w:rsidP="00605FC6">
      <w:pPr>
        <w:pStyle w:val="absatzschattenbericht"/>
        <w:rPr>
          <w:lang w:val="de-DE"/>
        </w:rPr>
      </w:pPr>
      <w:r w:rsidRPr="008A1A51">
        <w:rPr>
          <w:b/>
          <w:bCs/>
          <w:lang w:val="de-DE"/>
        </w:rPr>
        <w:t>Zwischengeschlecht</w:t>
      </w:r>
      <w:r w:rsidR="00933DAD" w:rsidRPr="008A1A51">
        <w:rPr>
          <w:b/>
          <w:bCs/>
          <w:lang w:val="de-DE"/>
        </w:rPr>
        <w:t>.org ist seit 2007 in Deutschland aktiv</w:t>
      </w:r>
      <w:r w:rsidR="006940D1" w:rsidRPr="008A1A51">
        <w:rPr>
          <w:b/>
          <w:bCs/>
          <w:lang w:val="de-DE"/>
        </w:rPr>
        <w:t>.</w:t>
      </w:r>
      <w:r w:rsidR="007210EC" w:rsidRPr="008A1A51">
        <w:rPr>
          <w:lang w:val="de-DE"/>
        </w:rPr>
        <w:t xml:space="preserve"> Unsere </w:t>
      </w:r>
      <w:r w:rsidR="001D681C" w:rsidRPr="008A1A51">
        <w:rPr>
          <w:lang w:val="de-DE"/>
        </w:rPr>
        <w:t xml:space="preserve">Pressearbeit und </w:t>
      </w:r>
      <w:r w:rsidR="00BD16AB" w:rsidRPr="008A1A51">
        <w:rPr>
          <w:lang w:val="de-DE"/>
        </w:rPr>
        <w:t>öffentlichkeitswirksame</w:t>
      </w:r>
      <w:r w:rsidR="001D681C" w:rsidRPr="008A1A51">
        <w:rPr>
          <w:lang w:val="de-DE"/>
        </w:rPr>
        <w:t>n</w:t>
      </w:r>
      <w:r w:rsidR="00BD16AB" w:rsidRPr="008A1A51">
        <w:rPr>
          <w:lang w:val="de-DE"/>
        </w:rPr>
        <w:t xml:space="preserve"> </w:t>
      </w:r>
      <w:r w:rsidR="001D681C" w:rsidRPr="008A1A51">
        <w:rPr>
          <w:lang w:val="de-DE"/>
        </w:rPr>
        <w:t>Aktionen trugen</w:t>
      </w:r>
      <w:r w:rsidR="007210EC" w:rsidRPr="008A1A51">
        <w:rPr>
          <w:lang w:val="de-DE"/>
        </w:rPr>
        <w:t xml:space="preserve"> maßgeblich dazu bei, dass </w:t>
      </w:r>
      <w:r w:rsidR="001809B3" w:rsidRPr="008A1A51">
        <w:rPr>
          <w:lang w:val="de-DE"/>
        </w:rPr>
        <w:t xml:space="preserve">im Zusammenhang mit Christiane </w:t>
      </w:r>
      <w:proofErr w:type="spellStart"/>
      <w:r w:rsidR="001809B3" w:rsidRPr="008A1A51">
        <w:rPr>
          <w:lang w:val="de-DE"/>
        </w:rPr>
        <w:t>Völlings</w:t>
      </w:r>
      <w:proofErr w:type="spellEnd"/>
      <w:r w:rsidR="001809B3" w:rsidRPr="008A1A51">
        <w:rPr>
          <w:lang w:val="de-DE"/>
        </w:rPr>
        <w:t xml:space="preserve"> Schadenersatzklage </w:t>
      </w:r>
      <w:r w:rsidR="001D681C" w:rsidRPr="008A1A51">
        <w:rPr>
          <w:lang w:val="de-DE"/>
        </w:rPr>
        <w:t xml:space="preserve">Intersex-Menschenrechte </w:t>
      </w:r>
      <w:r w:rsidR="00BD16AB" w:rsidRPr="008A1A51">
        <w:rPr>
          <w:lang w:val="de-DE"/>
        </w:rPr>
        <w:t>in Deutschland (wieder)</w:t>
      </w:r>
      <w:r w:rsidR="001809B3" w:rsidRPr="008A1A51">
        <w:rPr>
          <w:lang w:val="de-DE"/>
        </w:rPr>
        <w:t xml:space="preserve"> zum Thema wurden.</w:t>
      </w:r>
      <w:r w:rsidR="001809B3" w:rsidRPr="008A1A51">
        <w:rPr>
          <w:rStyle w:val="Funotenzeichen"/>
          <w:lang w:val="de-DE"/>
        </w:rPr>
        <w:footnoteReference w:id="18"/>
      </w:r>
      <w:r w:rsidR="00D8310F" w:rsidRPr="008A1A51">
        <w:rPr>
          <w:lang w:val="de-DE"/>
        </w:rPr>
        <w:t> </w:t>
      </w:r>
      <w:r w:rsidR="001809B3" w:rsidRPr="008A1A51">
        <w:rPr>
          <w:rStyle w:val="Funotenzeichen"/>
          <w:lang w:val="de-DE"/>
        </w:rPr>
        <w:footnoteReference w:id="19"/>
      </w:r>
      <w:r w:rsidR="00D8310F" w:rsidRPr="008A1A51">
        <w:rPr>
          <w:lang w:val="de-DE"/>
        </w:rPr>
        <w:t> </w:t>
      </w:r>
      <w:r w:rsidR="001809B3" w:rsidRPr="008A1A51">
        <w:rPr>
          <w:rStyle w:val="Funotenzeichen"/>
          <w:lang w:val="de-DE"/>
        </w:rPr>
        <w:footnoteReference w:id="20"/>
      </w:r>
      <w:r w:rsidR="00BD16AB" w:rsidRPr="008A1A51">
        <w:rPr>
          <w:lang w:val="de-DE"/>
        </w:rPr>
        <w:t xml:space="preserve"> </w:t>
      </w:r>
      <w:r w:rsidR="009A31D1" w:rsidRPr="008A1A51">
        <w:rPr>
          <w:lang w:val="de-DE"/>
        </w:rPr>
        <w:t xml:space="preserve">Zwischengeschlecht.org forderte </w:t>
      </w:r>
      <w:r w:rsidR="009F1F5A" w:rsidRPr="008A1A51">
        <w:rPr>
          <w:lang w:val="de-DE"/>
        </w:rPr>
        <w:t>bereits</w:t>
      </w:r>
      <w:r w:rsidR="00F20343" w:rsidRPr="008A1A51">
        <w:rPr>
          <w:lang w:val="de-DE"/>
        </w:rPr>
        <w:t xml:space="preserve"> </w:t>
      </w:r>
      <w:r w:rsidR="009A31D1" w:rsidRPr="008A1A51">
        <w:rPr>
          <w:lang w:val="de-DE"/>
        </w:rPr>
        <w:t>an</w:t>
      </w:r>
      <w:r w:rsidR="00F20343" w:rsidRPr="008A1A51">
        <w:rPr>
          <w:lang w:val="de-DE"/>
        </w:rPr>
        <w:t xml:space="preserve"> der Anhörung des Deutschen </w:t>
      </w:r>
      <w:r w:rsidR="00F20343" w:rsidRPr="008A1A51">
        <w:rPr>
          <w:lang w:val="de-DE"/>
        </w:rPr>
        <w:lastRenderedPageBreak/>
        <w:t xml:space="preserve">Ethikrates </w:t>
      </w:r>
      <w:r w:rsidR="001809A5" w:rsidRPr="008A1A51">
        <w:rPr>
          <w:lang w:val="de-DE"/>
        </w:rPr>
        <w:t>2011</w:t>
      </w:r>
      <w:r w:rsidR="008A303A" w:rsidRPr="008A1A51">
        <w:rPr>
          <w:lang w:val="de-DE"/>
        </w:rPr>
        <w:t xml:space="preserve"> ein </w:t>
      </w:r>
      <w:r w:rsidR="008A303A" w:rsidRPr="008A1A51">
        <w:rPr>
          <w:i/>
          <w:iCs/>
          <w:lang w:val="de-DE"/>
        </w:rPr>
        <w:t>“gesetzliches Verbot</w:t>
      </w:r>
      <w:r w:rsidR="008200CA" w:rsidRPr="008A1A51">
        <w:rPr>
          <w:i/>
          <w:iCs/>
          <w:lang w:val="de-DE"/>
        </w:rPr>
        <w:t>”</w:t>
      </w:r>
      <w:r w:rsidR="008A303A" w:rsidRPr="008A1A51">
        <w:rPr>
          <w:i/>
          <w:iCs/>
          <w:lang w:val="de-DE"/>
        </w:rPr>
        <w:t xml:space="preserve"> </w:t>
      </w:r>
      <w:r w:rsidR="00790C98" w:rsidRPr="008A1A51">
        <w:rPr>
          <w:lang w:val="de-DE"/>
        </w:rPr>
        <w:t xml:space="preserve">nicht-eingewilligter, unnötiger Genitaloperationen und Hormonbehandlungen an Intersex-Kindern </w:t>
      </w:r>
      <w:r w:rsidR="00790C98" w:rsidRPr="008A1A51">
        <w:rPr>
          <w:i/>
          <w:iCs/>
          <w:lang w:val="de-DE"/>
        </w:rPr>
        <w:t>“</w:t>
      </w:r>
      <w:r w:rsidR="008A303A" w:rsidRPr="008A1A51">
        <w:rPr>
          <w:i/>
          <w:iCs/>
          <w:lang w:val="de-DE"/>
        </w:rPr>
        <w:t xml:space="preserve">in Verbindung mit einer Aufhebung, Aussetzung oder Verlängerung der Verjährung” </w:t>
      </w:r>
      <w:r w:rsidR="00141D3B" w:rsidRPr="008A1A51">
        <w:rPr>
          <w:lang w:val="de-DE"/>
        </w:rPr>
        <w:t xml:space="preserve">und </w:t>
      </w:r>
      <w:r w:rsidR="006940D1" w:rsidRPr="008A1A51">
        <w:rPr>
          <w:lang w:val="de-DE"/>
        </w:rPr>
        <w:t>einer</w:t>
      </w:r>
      <w:r w:rsidR="00141D3B" w:rsidRPr="008A1A51">
        <w:rPr>
          <w:lang w:val="de-DE"/>
        </w:rPr>
        <w:t xml:space="preserve"> </w:t>
      </w:r>
      <w:r w:rsidR="006575D4" w:rsidRPr="008A1A51">
        <w:rPr>
          <w:lang w:val="de-DE"/>
        </w:rPr>
        <w:t xml:space="preserve">Verlängerung </w:t>
      </w:r>
      <w:r w:rsidR="006A4F95" w:rsidRPr="008A1A51">
        <w:rPr>
          <w:lang w:val="de-DE"/>
        </w:rPr>
        <w:t xml:space="preserve">der </w:t>
      </w:r>
      <w:r w:rsidR="00141D3B" w:rsidRPr="008A1A51">
        <w:rPr>
          <w:lang w:val="de-DE"/>
        </w:rPr>
        <w:t>Aufbewahrungsfrist für Krankenakten</w:t>
      </w:r>
      <w:r w:rsidR="006940D1" w:rsidRPr="008A1A51">
        <w:rPr>
          <w:lang w:val="de-DE"/>
        </w:rPr>
        <w:t xml:space="preserve"> auf 75 Jahre</w:t>
      </w:r>
      <w:r w:rsidR="008A303A" w:rsidRPr="008A1A51">
        <w:rPr>
          <w:rStyle w:val="Funotenzeichen"/>
          <w:lang w:val="de-DE"/>
        </w:rPr>
        <w:footnoteReference w:id="21"/>
      </w:r>
      <w:r w:rsidR="008A303A" w:rsidRPr="008A1A51">
        <w:rPr>
          <w:lang w:val="de-DE"/>
        </w:rPr>
        <w:t xml:space="preserve"> sowie Wiedergutmachung, </w:t>
      </w:r>
      <w:r w:rsidR="00E226A8" w:rsidRPr="008A1A51">
        <w:rPr>
          <w:lang w:val="de-DE"/>
        </w:rPr>
        <w:t xml:space="preserve">gesellschaftliche </w:t>
      </w:r>
      <w:r w:rsidR="008A303A" w:rsidRPr="008A1A51">
        <w:rPr>
          <w:lang w:val="de-DE"/>
        </w:rPr>
        <w:t>Aufarbeitung und Aussöhnung</w:t>
      </w:r>
      <w:r w:rsidR="001D681C" w:rsidRPr="008A1A51">
        <w:rPr>
          <w:lang w:val="de-DE"/>
        </w:rPr>
        <w:t>.</w:t>
      </w:r>
      <w:r w:rsidR="008A303A" w:rsidRPr="008A1A51">
        <w:rPr>
          <w:rStyle w:val="Funotenzeichen"/>
          <w:lang w:val="de-DE"/>
        </w:rPr>
        <w:footnoteReference w:id="22"/>
      </w:r>
      <w:r w:rsidR="00E226A8" w:rsidRPr="008A1A51">
        <w:rPr>
          <w:i/>
          <w:iCs/>
          <w:lang w:val="de-DE"/>
        </w:rPr>
        <w:t xml:space="preserve"> </w:t>
      </w:r>
      <w:r w:rsidR="0057320B" w:rsidRPr="008A1A51">
        <w:rPr>
          <w:lang w:val="de-DE"/>
        </w:rPr>
        <w:t xml:space="preserve">Unsere </w:t>
      </w:r>
      <w:r w:rsidR="007A483E" w:rsidRPr="008A1A51">
        <w:rPr>
          <w:lang w:val="de-DE"/>
        </w:rPr>
        <w:t xml:space="preserve">zahlreichen </w:t>
      </w:r>
      <w:r w:rsidR="0057320B" w:rsidRPr="008A1A51">
        <w:rPr>
          <w:lang w:val="de-DE"/>
        </w:rPr>
        <w:t xml:space="preserve">öffentlichkeitswirksamen gewaltfreien Proteste </w:t>
      </w:r>
      <w:r w:rsidR="007A483E" w:rsidRPr="008A1A51">
        <w:rPr>
          <w:lang w:val="de-DE"/>
        </w:rPr>
        <w:t>u</w:t>
      </w:r>
      <w:r w:rsidR="0057320B" w:rsidRPr="008A1A51">
        <w:rPr>
          <w:lang w:val="de-DE"/>
        </w:rPr>
        <w:t>nd offenen Briefe</w:t>
      </w:r>
      <w:r w:rsidR="007A483E" w:rsidRPr="008A1A51">
        <w:rPr>
          <w:rStyle w:val="Funotenzeichen"/>
          <w:lang w:val="de-DE"/>
        </w:rPr>
        <w:footnoteReference w:id="23"/>
      </w:r>
      <w:r w:rsidR="007A483E" w:rsidRPr="008A1A51">
        <w:rPr>
          <w:lang w:val="de-DE"/>
        </w:rPr>
        <w:t xml:space="preserve"> </w:t>
      </w:r>
      <w:r w:rsidR="0057320B" w:rsidRPr="008A1A51">
        <w:rPr>
          <w:lang w:val="de-DE"/>
        </w:rPr>
        <w:t xml:space="preserve">an Ärztegesellschaften </w:t>
      </w:r>
      <w:r w:rsidR="007A483E" w:rsidRPr="008A1A51">
        <w:rPr>
          <w:lang w:val="de-DE"/>
        </w:rPr>
        <w:t xml:space="preserve">und Kliniken </w:t>
      </w:r>
      <w:r w:rsidR="0057320B" w:rsidRPr="008A1A51">
        <w:rPr>
          <w:lang w:val="de-DE"/>
        </w:rPr>
        <w:t>waren der Anlass, die jüngste Leitlinienüberarbeitung an die Hand zu nehmen.</w:t>
      </w:r>
      <w:r w:rsidR="007A483E" w:rsidRPr="008A1A51">
        <w:rPr>
          <w:rStyle w:val="Funotenzeichen"/>
          <w:lang w:val="de-DE"/>
        </w:rPr>
        <w:footnoteReference w:id="24"/>
      </w:r>
      <w:r w:rsidR="0057320B" w:rsidRPr="008A1A51">
        <w:rPr>
          <w:lang w:val="de-DE"/>
        </w:rPr>
        <w:t xml:space="preserve"> </w:t>
      </w:r>
      <w:r w:rsidR="002275A4" w:rsidRPr="008A1A51">
        <w:rPr>
          <w:lang w:val="de-DE"/>
        </w:rPr>
        <w:t>Auch die “Interministerielle Arbeitsgruppe Inter- &amp; Transsexualität (IMAG)” verwies mehrfach auf unsere Arbeit.</w:t>
      </w:r>
      <w:r w:rsidR="002275A4" w:rsidRPr="008A1A51">
        <w:rPr>
          <w:rStyle w:val="Funotenzeichen"/>
          <w:lang w:val="de-DE"/>
        </w:rPr>
        <w:footnoteReference w:id="25"/>
      </w:r>
      <w:r w:rsidR="00171012" w:rsidRPr="008A1A51">
        <w:rPr>
          <w:lang w:val="de-DE"/>
        </w:rPr>
        <w:t xml:space="preserve"> </w:t>
      </w:r>
      <w:r w:rsidR="00171012" w:rsidRPr="008A1A51">
        <w:rPr>
          <w:rStyle w:val="Funotenzeichen"/>
          <w:lang w:val="de-DE"/>
        </w:rPr>
        <w:footnoteReference w:id="26"/>
      </w:r>
      <w:r w:rsidR="00605FC6" w:rsidRPr="008A1A51">
        <w:rPr>
          <w:lang w:val="de-DE"/>
        </w:rPr>
        <w:t xml:space="preserve"> Unsere NGO berichtet regelmäßig UN-Ausschüssen über IGM in Deutschland, u.a. CCPR,</w:t>
      </w:r>
      <w:r w:rsidR="00605FC6" w:rsidRPr="008A1A51">
        <w:rPr>
          <w:rStyle w:val="Funotenzeichen"/>
          <w:lang w:val="de-DE"/>
        </w:rPr>
        <w:footnoteReference w:id="27"/>
      </w:r>
      <w:r w:rsidR="00605FC6" w:rsidRPr="008A1A51">
        <w:rPr>
          <w:lang w:val="de-DE"/>
        </w:rPr>
        <w:t xml:space="preserve"> CRPD,</w:t>
      </w:r>
      <w:r w:rsidR="00605FC6" w:rsidRPr="008A1A51">
        <w:rPr>
          <w:rStyle w:val="Funotenzeichen"/>
          <w:lang w:val="de-DE"/>
        </w:rPr>
        <w:footnoteReference w:id="28"/>
      </w:r>
      <w:r w:rsidR="00605FC6" w:rsidRPr="008A1A51">
        <w:rPr>
          <w:lang w:val="de-DE"/>
        </w:rPr>
        <w:t xml:space="preserve"> CEDAW</w:t>
      </w:r>
      <w:r w:rsidR="00605FC6" w:rsidRPr="008A1A51">
        <w:rPr>
          <w:rStyle w:val="Funotenzeichen"/>
          <w:lang w:val="de-DE"/>
        </w:rPr>
        <w:footnoteReference w:id="29"/>
      </w:r>
      <w:r w:rsidR="00605FC6" w:rsidRPr="008A1A51">
        <w:rPr>
          <w:lang w:val="de-DE"/>
        </w:rPr>
        <w:t xml:space="preserve"> und CAT</w:t>
      </w:r>
      <w:r w:rsidR="00605FC6" w:rsidRPr="008A1A51">
        <w:rPr>
          <w:rStyle w:val="Funotenzeichen"/>
          <w:lang w:val="de-DE"/>
        </w:rPr>
        <w:footnoteReference w:id="30"/>
      </w:r>
      <w:r w:rsidR="00605FC6" w:rsidRPr="008A1A51">
        <w:rPr>
          <w:lang w:val="de-DE"/>
        </w:rPr>
        <w:t>.</w:t>
      </w:r>
    </w:p>
    <w:p w14:paraId="3CA488F6" w14:textId="19F0BB49" w:rsidR="00171012" w:rsidRPr="008A1A51" w:rsidRDefault="00171012" w:rsidP="00A56930">
      <w:pPr>
        <w:pStyle w:val="absatzschattenbericht"/>
        <w:rPr>
          <w:lang w:val="de-DE"/>
        </w:rPr>
      </w:pPr>
    </w:p>
    <w:sectPr w:rsidR="00171012" w:rsidRPr="008A1A51" w:rsidSect="004F0DB4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8876" w14:textId="77777777" w:rsidR="00A42CE9" w:rsidRDefault="00A42CE9" w:rsidP="005541D9">
      <w:pPr>
        <w:spacing w:after="0" w:line="240" w:lineRule="auto"/>
      </w:pPr>
      <w:r>
        <w:separator/>
      </w:r>
    </w:p>
  </w:endnote>
  <w:endnote w:type="continuationSeparator" w:id="0">
    <w:p w14:paraId="3EE65B89" w14:textId="77777777" w:rsidR="00A42CE9" w:rsidRDefault="00A42CE9" w:rsidP="0055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MS Gothic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ABD" w14:textId="77777777" w:rsidR="003256AF" w:rsidRDefault="003256AF" w:rsidP="002C6F06">
    <w:pPr>
      <w:spacing w:after="0" w:line="240" w:lineRule="auto"/>
      <w:jc w:val="right"/>
      <w:rPr>
        <w:rFonts w:ascii="Century Gothic" w:hAnsi="Century Gothic" w:cs="Century Gothic"/>
        <w:color w:val="660066"/>
        <w:sz w:val="24"/>
      </w:rPr>
    </w:pPr>
  </w:p>
  <w:p w14:paraId="34CF4118" w14:textId="77777777" w:rsidR="003256AF" w:rsidRDefault="003256AF" w:rsidP="002C6F06">
    <w:pPr>
      <w:spacing w:after="0" w:line="240" w:lineRule="auto"/>
      <w:jc w:val="right"/>
      <w:rPr>
        <w:rFonts w:ascii="Century Gothic" w:hAnsi="Century Gothic" w:cs="Century Gothic"/>
        <w:color w:val="660066"/>
        <w:sz w:val="24"/>
      </w:rPr>
    </w:pPr>
    <w:r>
      <w:rPr>
        <w:rFonts w:ascii="Century Gothic" w:hAnsi="Century Gothic" w:cs="Century Gothic"/>
        <w:color w:val="660066"/>
        <w:sz w:val="24"/>
      </w:rPr>
      <w:t>Postfach 2122 ·  CH-8031 Zürich ·  Schweiz</w:t>
    </w:r>
  </w:p>
  <w:p w14:paraId="0E01048C" w14:textId="77777777" w:rsidR="003256AF" w:rsidRDefault="003256AF" w:rsidP="002C6F06">
    <w:pPr>
      <w:spacing w:after="0" w:line="240" w:lineRule="auto"/>
      <w:jc w:val="right"/>
      <w:rPr>
        <w:rFonts w:ascii="Century Gothic" w:hAnsi="Century Gothic" w:cs="Century Gothic"/>
        <w:color w:val="660066"/>
        <w:sz w:val="24"/>
      </w:rPr>
    </w:pPr>
    <w:r>
      <w:rPr>
        <w:rFonts w:ascii="Century Gothic" w:hAnsi="Century Gothic" w:cs="Century Gothic"/>
        <w:color w:val="660066"/>
        <w:sz w:val="24"/>
      </w:rPr>
      <w:t>info@zwischengeschlecht.org</w:t>
    </w:r>
  </w:p>
  <w:p w14:paraId="40A07E16" w14:textId="189B3F66" w:rsidR="003256AF" w:rsidRPr="002C6F06" w:rsidRDefault="003256AF" w:rsidP="002C6F06">
    <w:pPr>
      <w:spacing w:after="0" w:line="240" w:lineRule="auto"/>
      <w:jc w:val="right"/>
    </w:pPr>
    <w:r>
      <w:rPr>
        <w:rFonts w:ascii="Century Gothic" w:hAnsi="Century Gothic" w:cs="Century Gothic"/>
        <w:color w:val="660066"/>
        <w:sz w:val="24"/>
      </w:rPr>
      <w:t>Mobile +41 76 398 06 50 ·  http://Zwischengeschlecht.org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DA20" w14:textId="77777777" w:rsidR="00A42CE9" w:rsidRDefault="00A42CE9" w:rsidP="005541D9">
      <w:pPr>
        <w:spacing w:after="0" w:line="240" w:lineRule="auto"/>
      </w:pPr>
      <w:r>
        <w:separator/>
      </w:r>
    </w:p>
  </w:footnote>
  <w:footnote w:type="continuationSeparator" w:id="0">
    <w:p w14:paraId="6C65C0CF" w14:textId="77777777" w:rsidR="00A42CE9" w:rsidRDefault="00A42CE9" w:rsidP="005541D9">
      <w:pPr>
        <w:spacing w:after="0" w:line="240" w:lineRule="auto"/>
      </w:pPr>
      <w:r>
        <w:continuationSeparator/>
      </w:r>
    </w:p>
  </w:footnote>
  <w:footnote w:id="1">
    <w:p w14:paraId="76F5171A" w14:textId="1EB58688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Siehe u.a. AGGPG (1996): “Genitalverstümmelungen in Deutschland in der Kinder- und Jugendgynäkologie”, </w:t>
      </w:r>
      <w:hyperlink r:id="rId1" w:history="1">
        <w:r w:rsidRPr="00605FC6">
          <w:rPr>
            <w:rStyle w:val="Hyperlink"/>
            <w:lang w:val="de-DE"/>
          </w:rPr>
          <w:t>http://blog.zwischengeschlecht.info/pages/Genitalverstuemmelungen-AGGPG-%281996%29</w:t>
        </w:r>
      </w:hyperlink>
      <w:r w:rsidRPr="00605FC6">
        <w:rPr>
          <w:lang w:val="de-DE"/>
        </w:rPr>
        <w:t xml:space="preserve">; </w:t>
      </w:r>
      <w:r>
        <w:rPr>
          <w:lang w:val="de-DE"/>
        </w:rPr>
        <w:t xml:space="preserve">sowie insbesondere </w:t>
      </w:r>
      <w:r w:rsidRPr="00605FC6">
        <w:rPr>
          <w:lang w:val="de-DE"/>
        </w:rPr>
        <w:t xml:space="preserve">AGGPG (1998): “Vernichtung intersexueller Menschen in westlichen Kulturen”, </w:t>
      </w:r>
      <w:hyperlink r:id="rId2" w:history="1">
        <w:r w:rsidRPr="0025111D">
          <w:rPr>
            <w:rStyle w:val="Hyperlink"/>
            <w:lang w:val="de-DE"/>
          </w:rPr>
          <w:t>http://blog.zwischengeschlecht.info/pages/%22Vernichtung-intersexueller-Menschen-in-westlichen-Kulturen%22-Flugblatt-AGGPG-%281998%29</w:t>
        </w:r>
      </w:hyperlink>
      <w:r>
        <w:rPr>
          <w:lang w:val="de-DE"/>
        </w:rPr>
        <w:t xml:space="preserve"> </w:t>
      </w:r>
    </w:p>
  </w:footnote>
  <w:footnote w:id="2">
    <w:p w14:paraId="1B425B42" w14:textId="0D03EC4C" w:rsidR="003256AF" w:rsidRPr="00605FC6" w:rsidRDefault="003256AF" w:rsidP="00D3098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r w:rsidRPr="00D30986">
        <w:rPr>
          <w:lang w:val="de-DE"/>
        </w:rPr>
        <w:t xml:space="preserve">Markus Bauer, Daniela Truffer (2016): </w:t>
      </w:r>
      <w:r>
        <w:rPr>
          <w:lang w:val="de-DE"/>
        </w:rPr>
        <w:t>“</w:t>
      </w:r>
      <w:r w:rsidRPr="00D30986">
        <w:rPr>
          <w:lang w:val="de-DE"/>
        </w:rPr>
        <w:t>Intersex und Selbstbestimmung</w:t>
      </w:r>
      <w:r>
        <w:rPr>
          <w:lang w:val="de-DE"/>
        </w:rPr>
        <w:t>”</w:t>
      </w:r>
      <w:r w:rsidRPr="00D30986">
        <w:rPr>
          <w:lang w:val="de-DE"/>
        </w:rPr>
        <w:t>, in: Michaela Katzer, Heinz-Jürgen Voß (</w:t>
      </w:r>
      <w:proofErr w:type="spellStart"/>
      <w:r w:rsidRPr="00D30986">
        <w:rPr>
          <w:lang w:val="de-DE"/>
        </w:rPr>
        <w:t>Hg</w:t>
      </w:r>
      <w:proofErr w:type="spellEnd"/>
      <w:r w:rsidRPr="00D30986">
        <w:rPr>
          <w:lang w:val="de-DE"/>
        </w:rPr>
        <w:t xml:space="preserve">.): Geschlechtliche, sexuelle und reproduktive Selbstbestimmung. Praxisorientierte Zugänge, Gießen: Psychosozial-Verlag, S. 137-159, hier: S. 143-151, </w:t>
      </w:r>
      <w:hyperlink r:id="rId3" w:history="1">
        <w:r w:rsidRPr="0025111D">
          <w:rPr>
            <w:rStyle w:val="Hyperlink"/>
            <w:lang w:val="de-DE"/>
          </w:rPr>
          <w:t>https://www.psychosozial-verlag.de/catalog/dispatch-free.php?id=6799</w:t>
        </w:r>
      </w:hyperlink>
      <w:r>
        <w:rPr>
          <w:lang w:val="de-DE"/>
        </w:rPr>
        <w:t xml:space="preserve"> </w:t>
      </w:r>
      <w:r>
        <w:rPr>
          <w:lang w:val="de-DE"/>
        </w:rPr>
        <w:br/>
        <w:t xml:space="preserve">Daniela Truffer (2014): “Von jetzt an gibt es mehr als Frauen und Männer …”, Vortrag am Fachtag Intersexualität, Hannover 26.11.2014, S. 32-51, </w:t>
      </w:r>
      <w:hyperlink r:id="rId4" w:history="1">
        <w:r w:rsidRPr="0025111D">
          <w:rPr>
            <w:rStyle w:val="Hyperlink"/>
            <w:lang w:val="de-DE"/>
          </w:rPr>
          <w:t>http://zwischengeschlecht.org/public/Zwischengeschlecht_Truffer_Fachtag_Hannover_Nov_2014_web.pdf</w:t>
        </w:r>
      </w:hyperlink>
      <w:r>
        <w:rPr>
          <w:lang w:val="de-DE"/>
        </w:rPr>
        <w:t xml:space="preserve"> </w:t>
      </w:r>
      <w:r>
        <w:rPr>
          <w:lang w:val="de-DE"/>
        </w:rPr>
        <w:br/>
        <w:t xml:space="preserve">Zwischengeschlecht.org: 2017 CEDAW Intersex NGO Report Germany, S. 8-11, </w:t>
      </w:r>
      <w:hyperlink r:id="rId5" w:history="1">
        <w:r w:rsidRPr="0025111D">
          <w:rPr>
            <w:rStyle w:val="Hyperlink"/>
            <w:lang w:val="de-DE"/>
          </w:rPr>
          <w:t>http://intersex.shadowreport.org/public/2017-CEDAW-Germany-NGO-Zwischengeschlecht-Intersex-IGM.pdf</w:t>
        </w:r>
      </w:hyperlink>
      <w:r>
        <w:rPr>
          <w:lang w:val="de-DE"/>
        </w:rPr>
        <w:t xml:space="preserve"> sowie </w:t>
      </w:r>
      <w:r w:rsidRPr="00AA4D00">
        <w:rPr>
          <w:lang w:val="de-DE"/>
        </w:rPr>
        <w:t xml:space="preserve">CEDAW/C/DEU/CO/7-8, </w:t>
      </w:r>
      <w:proofErr w:type="spellStart"/>
      <w:r w:rsidRPr="00AA4D00">
        <w:rPr>
          <w:lang w:val="de-DE"/>
        </w:rPr>
        <w:t>paras</w:t>
      </w:r>
      <w:proofErr w:type="spellEnd"/>
      <w:r w:rsidRPr="00AA4D00">
        <w:rPr>
          <w:lang w:val="de-DE"/>
        </w:rPr>
        <w:t xml:space="preserve"> 23-24</w:t>
      </w:r>
      <w:r>
        <w:rPr>
          <w:lang w:val="de-DE"/>
        </w:rPr>
        <w:br/>
        <w:t xml:space="preserve">Zwischengeschlecht.org et al.: 2014 CRC Intersex NGO Report </w:t>
      </w:r>
      <w:proofErr w:type="spellStart"/>
      <w:r>
        <w:rPr>
          <w:lang w:val="de-DE"/>
        </w:rPr>
        <w:t>Switzerland</w:t>
      </w:r>
      <w:proofErr w:type="spellEnd"/>
      <w:r>
        <w:rPr>
          <w:lang w:val="de-DE"/>
        </w:rPr>
        <w:t xml:space="preserve">, S. 63-76, </w:t>
      </w:r>
      <w:hyperlink r:id="rId6" w:history="1">
        <w:r w:rsidRPr="0025111D">
          <w:rPr>
            <w:rStyle w:val="Hyperlink"/>
            <w:lang w:val="de-DE"/>
          </w:rPr>
          <w:t>http://intersex.shadowreport.org/public/2014-CRC-Swiss-NGO-Zwischengeschlecht-Intersex-IGM_v2.pdf</w:t>
        </w:r>
      </w:hyperlink>
      <w:r>
        <w:rPr>
          <w:lang w:val="de-DE"/>
        </w:rPr>
        <w:t xml:space="preserve"> </w:t>
      </w:r>
    </w:p>
  </w:footnote>
  <w:footnote w:id="3">
    <w:p w14:paraId="25B0B69F" w14:textId="22075EF3" w:rsidR="003256AF" w:rsidRPr="00FE1545" w:rsidRDefault="003256AF" w:rsidP="00145F00">
      <w:pPr>
        <w:pStyle w:val="fussnoteschattenbericht"/>
        <w:spacing w:line="264" w:lineRule="auto"/>
        <w:ind w:hanging="448"/>
      </w:pPr>
      <w:r w:rsidRPr="00605FC6">
        <w:rPr>
          <w:rStyle w:val="Funotenzeichen"/>
          <w:vertAlign w:val="baseline"/>
          <w:lang w:val="de-DE"/>
        </w:rPr>
        <w:footnoteRef/>
      </w:r>
      <w:r w:rsidRPr="00FE1545">
        <w:rPr>
          <w:rStyle w:val="Funotenzeichen"/>
          <w:vertAlign w:val="baseline"/>
        </w:rPr>
        <w:t xml:space="preserve"> </w:t>
      </w:r>
      <w:r w:rsidRPr="00FE1545">
        <w:tab/>
        <w:t xml:space="preserve">Vgl. Adrienne Carmack, Lauren Notini, and Brian D. Earp (2016): Should Surgery for Hypospadias Be Performed Before An Age of Consent? In: Journal of Sex Reserarch, 53(8):1047-1058, </w:t>
      </w:r>
      <w:hyperlink r:id="rId7" w:history="1">
        <w:r w:rsidRPr="00FE1545">
          <w:rPr>
            <w:rStyle w:val="Hyperlink"/>
            <w:sz w:val="19"/>
            <w:szCs w:val="19"/>
          </w:rPr>
          <w:t>https://www.academia.edu/13117940/Should_surgery_for_hypospadias_be_performed_before_an_age_of_consent</w:t>
        </w:r>
      </w:hyperlink>
      <w:r w:rsidRPr="00FE1545">
        <w:t xml:space="preserve"> </w:t>
      </w:r>
    </w:p>
  </w:footnote>
  <w:footnote w:id="4">
    <w:p w14:paraId="06C43FE3" w14:textId="6ACCB084" w:rsidR="003256AF" w:rsidRPr="00605FC6" w:rsidRDefault="003256AF" w:rsidP="003A5408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r>
        <w:rPr>
          <w:lang w:val="de-DE"/>
        </w:rPr>
        <w:t xml:space="preserve">Vgl. z.B. das Zeugnis der Kanadierin Janik Bastien-Charlebois, siehe </w:t>
      </w:r>
      <w:hyperlink r:id="rId8" w:history="1">
        <w:r w:rsidRPr="0025111D">
          <w:rPr>
            <w:rStyle w:val="Hyperlink"/>
            <w:lang w:val="de-DE"/>
          </w:rPr>
          <w:t>http://stop.genitalmutilation.org/post/Bearing-Witness-To-IGM-Canada</w:t>
        </w:r>
      </w:hyperlink>
      <w:r>
        <w:rPr>
          <w:lang w:val="de-DE"/>
        </w:rPr>
        <w:t xml:space="preserve">, </w:t>
      </w:r>
      <w:r>
        <w:rPr>
          <w:lang w:val="de-DE"/>
        </w:rPr>
        <w:br/>
        <w:t>sowie Zwischengeschlecht.org bekannte ähnliche Fälle aus der Schweiz</w:t>
      </w:r>
    </w:p>
  </w:footnote>
  <w:footnote w:id="5">
    <w:p w14:paraId="38DD1813" w14:textId="0C386134" w:rsidR="00C54D8E" w:rsidRPr="00605FC6" w:rsidRDefault="00C54D8E" w:rsidP="00C54D8E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9" w:history="1">
        <w:r w:rsidRPr="0025111D">
          <w:rPr>
            <w:rStyle w:val="Hyperlink"/>
            <w:lang w:val="de-DE"/>
          </w:rPr>
          <w:t>https://ihra.org.au/31036/re-carla-family-court/</w:t>
        </w:r>
      </w:hyperlink>
      <w:r>
        <w:rPr>
          <w:lang w:val="de-DE"/>
        </w:rPr>
        <w:t xml:space="preserve"> </w:t>
      </w:r>
    </w:p>
  </w:footnote>
  <w:footnote w:id="6">
    <w:p w14:paraId="33DFC6BB" w14:textId="1B756E25" w:rsidR="003256AF" w:rsidRPr="00605FC6" w:rsidRDefault="003256AF" w:rsidP="002167DF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10" w:history="1">
        <w:r w:rsidRPr="0025111D">
          <w:rPr>
            <w:rStyle w:val="Hyperlink"/>
            <w:lang w:val="de-DE"/>
          </w:rPr>
          <w:t>http://zwischengeschlecht.org/public/Bundestag_2012-10-24_AFSFJ_Intersex-Fachgesprach_Protokoll.pdf</w:t>
        </w:r>
      </w:hyperlink>
      <w:r>
        <w:rPr>
          <w:lang w:val="de-DE"/>
        </w:rPr>
        <w:t xml:space="preserve"> </w:t>
      </w:r>
    </w:p>
  </w:footnote>
  <w:footnote w:id="7">
    <w:p w14:paraId="4CBD8FB8" w14:textId="379D7EAB" w:rsidR="003256AF" w:rsidRPr="00605FC6" w:rsidRDefault="003256AF" w:rsidP="009007EA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11" w:history="1">
        <w:r w:rsidRPr="009007EA">
          <w:rPr>
            <w:rStyle w:val="Hyperlink"/>
            <w:sz w:val="18"/>
            <w:szCs w:val="18"/>
            <w:lang w:val="de-DE"/>
          </w:rPr>
          <w:t>http://blog.zwischengeschlecht.info/post/2017/03/06/Intersex-Genitalverstummelungen-UNO-Ohrfeige-fur-Deutschland</w:t>
        </w:r>
      </w:hyperlink>
      <w:r>
        <w:rPr>
          <w:lang w:val="de-DE"/>
        </w:rPr>
        <w:t xml:space="preserve"> </w:t>
      </w:r>
    </w:p>
  </w:footnote>
  <w:footnote w:id="8">
    <w:p w14:paraId="508F8BA5" w14:textId="410690ED" w:rsidR="003256AF" w:rsidRPr="00605FC6" w:rsidRDefault="003256AF" w:rsidP="00D62C04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12" w:history="1">
        <w:r w:rsidRPr="008D5A5D">
          <w:rPr>
            <w:rStyle w:val="Hyperlink"/>
            <w:sz w:val="16"/>
            <w:szCs w:val="16"/>
            <w:lang w:val="de-DE"/>
          </w:rPr>
          <w:t>http://blog.zwischengeschlecht.info/post/2012/08/22/UN-Ausschuss-gegen-Folter-D-soll-kosmetische-Genitaloperationen-entschadigen</w:t>
        </w:r>
      </w:hyperlink>
      <w:r>
        <w:rPr>
          <w:sz w:val="18"/>
          <w:szCs w:val="18"/>
          <w:lang w:val="de-DE"/>
        </w:rPr>
        <w:t xml:space="preserve"> </w:t>
      </w:r>
    </w:p>
  </w:footnote>
  <w:footnote w:id="9">
    <w:p w14:paraId="66753E07" w14:textId="77777777" w:rsidR="003256AF" w:rsidRPr="00605FC6" w:rsidRDefault="003256AF" w:rsidP="00821F49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13" w:history="1">
        <w:r w:rsidRPr="0025579A">
          <w:rPr>
            <w:rStyle w:val="Hyperlink"/>
            <w:sz w:val="19"/>
            <w:szCs w:val="19"/>
            <w:lang w:val="de-DE"/>
          </w:rPr>
          <w:t>http://blog.zwischengeschlecht.info/post/2015/04/17/UN-Behindertenrechtsausschuss-kritisiert-IGM-Deutschland</w:t>
        </w:r>
      </w:hyperlink>
      <w:r w:rsidRPr="0025579A">
        <w:rPr>
          <w:sz w:val="19"/>
          <w:szCs w:val="19"/>
          <w:lang w:val="de-DE"/>
        </w:rPr>
        <w:t xml:space="preserve"> </w:t>
      </w:r>
    </w:p>
  </w:footnote>
  <w:footnote w:id="10">
    <w:p w14:paraId="41AE0A52" w14:textId="618089AE" w:rsidR="003256AF" w:rsidRPr="00605FC6" w:rsidRDefault="003256AF" w:rsidP="00510837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r>
        <w:rPr>
          <w:sz w:val="19"/>
          <w:szCs w:val="19"/>
          <w:lang w:val="de-DE"/>
        </w:rPr>
        <w:t xml:space="preserve">Siehe </w:t>
      </w:r>
      <w:hyperlink r:id="rId14" w:history="1">
        <w:r w:rsidRPr="00510837">
          <w:rPr>
            <w:rStyle w:val="Hyperlink"/>
            <w:sz w:val="15"/>
            <w:szCs w:val="15"/>
            <w:lang w:val="de-DE"/>
          </w:rPr>
          <w:t>http://blog.zwischengeschlecht.info/post/2014/05/30/WHO%2C-OHCHR%2C-UNICEF-4-mehr-verurteilen-Intersex-Sterilisationen-IGM</w:t>
        </w:r>
      </w:hyperlink>
      <w:r>
        <w:rPr>
          <w:sz w:val="19"/>
          <w:szCs w:val="19"/>
          <w:lang w:val="de-DE"/>
        </w:rPr>
        <w:t xml:space="preserve"> </w:t>
      </w:r>
    </w:p>
  </w:footnote>
  <w:footnote w:id="11">
    <w:p w14:paraId="43E39466" w14:textId="4AD764CB" w:rsidR="003256AF" w:rsidRPr="00605FC6" w:rsidRDefault="003256AF" w:rsidP="00F12081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r w:rsidRPr="00F12081">
        <w:rPr>
          <w:b/>
          <w:bCs/>
          <w:sz w:val="19"/>
          <w:szCs w:val="19"/>
          <w:lang w:val="de-DE"/>
        </w:rPr>
        <w:t>Malta</w:t>
      </w:r>
      <w:r>
        <w:rPr>
          <w:sz w:val="19"/>
          <w:szCs w:val="19"/>
          <w:lang w:val="de-DE"/>
        </w:rPr>
        <w:t xml:space="preserve">: </w:t>
      </w:r>
      <w:r w:rsidRPr="00F12081">
        <w:rPr>
          <w:sz w:val="19"/>
          <w:szCs w:val="19"/>
          <w:lang w:val="pt-BR"/>
        </w:rPr>
        <w:t>CRC/C/MLT/CO/3-6, paras 28-29</w:t>
      </w:r>
      <w:r>
        <w:rPr>
          <w:sz w:val="19"/>
          <w:szCs w:val="19"/>
          <w:lang w:val="pt-BR"/>
        </w:rPr>
        <w:t xml:space="preserve">, siehe auch </w:t>
      </w:r>
      <w:hyperlink r:id="rId15" w:history="1">
        <w:r w:rsidRPr="0025111D">
          <w:rPr>
            <w:rStyle w:val="Hyperlink"/>
            <w:sz w:val="19"/>
            <w:szCs w:val="19"/>
            <w:lang w:val="pt-BR"/>
          </w:rPr>
          <w:t>http://intersex.shadowreport.org/public/2019-CRC-Malta-NGO-Zwischengeschlecht-Intersex-IGM.pdf</w:t>
        </w:r>
      </w:hyperlink>
      <w:r>
        <w:rPr>
          <w:sz w:val="19"/>
          <w:szCs w:val="19"/>
          <w:lang w:val="pt-BR"/>
        </w:rPr>
        <w:t xml:space="preserve">; </w:t>
      </w:r>
      <w:r w:rsidRPr="00F12081">
        <w:rPr>
          <w:b/>
          <w:bCs/>
          <w:sz w:val="19"/>
          <w:szCs w:val="19"/>
          <w:lang w:val="pt-BR"/>
        </w:rPr>
        <w:t>Portugal</w:t>
      </w:r>
      <w:r>
        <w:rPr>
          <w:sz w:val="19"/>
          <w:szCs w:val="19"/>
          <w:lang w:val="pt-BR"/>
        </w:rPr>
        <w:t xml:space="preserve">: </w:t>
      </w:r>
      <w:r w:rsidRPr="00F12081">
        <w:rPr>
          <w:sz w:val="19"/>
          <w:szCs w:val="19"/>
          <w:lang w:val="pt-BR"/>
        </w:rPr>
        <w:t>CRC/C/PRT/CO/5-6, paras 28(b</w:t>
      </w:r>
      <w:r>
        <w:rPr>
          <w:sz w:val="19"/>
          <w:szCs w:val="19"/>
          <w:lang w:val="pt-BR"/>
        </w:rPr>
        <w:t xml:space="preserve">), siehe auch </w:t>
      </w:r>
      <w:hyperlink r:id="rId16" w:history="1">
        <w:r w:rsidRPr="0025111D">
          <w:rPr>
            <w:rStyle w:val="Hyperlink"/>
            <w:sz w:val="19"/>
            <w:szCs w:val="19"/>
            <w:lang w:val="pt-BR"/>
          </w:rPr>
          <w:t>http://intersex.shadowreport.org/public/2019-CCPR-LOIPR-Spain-Intersex-Brujula-StopIGM.pdf</w:t>
        </w:r>
      </w:hyperlink>
      <w:r>
        <w:rPr>
          <w:sz w:val="19"/>
          <w:szCs w:val="19"/>
          <w:lang w:val="pt-BR"/>
        </w:rPr>
        <w:t xml:space="preserve">; </w:t>
      </w:r>
      <w:r w:rsidRPr="00F12081">
        <w:rPr>
          <w:b/>
          <w:bCs/>
          <w:sz w:val="19"/>
          <w:szCs w:val="19"/>
          <w:lang w:val="pt-BR"/>
        </w:rPr>
        <w:t>Argentinien</w:t>
      </w:r>
      <w:r>
        <w:rPr>
          <w:sz w:val="19"/>
          <w:szCs w:val="19"/>
          <w:lang w:val="pt-BR"/>
        </w:rPr>
        <w:t xml:space="preserve">: </w:t>
      </w:r>
      <w:r w:rsidRPr="0024604A">
        <w:rPr>
          <w:rFonts w:asciiTheme="majorBidi" w:hAnsiTheme="majorBidi" w:cstheme="majorBidi"/>
          <w:szCs w:val="24"/>
          <w:lang w:val="pt-BR"/>
        </w:rPr>
        <w:t>CRC/C/ARG/CO/5-6, para 26</w:t>
      </w:r>
      <w:r>
        <w:rPr>
          <w:rFonts w:asciiTheme="majorBidi" w:hAnsiTheme="majorBidi" w:cstheme="majorBidi"/>
          <w:szCs w:val="24"/>
          <w:lang w:val="pt-BR"/>
        </w:rPr>
        <w:t xml:space="preserve">, siehe auch </w:t>
      </w:r>
      <w:hyperlink r:id="rId17" w:history="1">
        <w:r w:rsidRPr="0025111D">
          <w:rPr>
            <w:rStyle w:val="Hyperlink"/>
            <w:rFonts w:asciiTheme="majorBidi" w:hAnsiTheme="majorBidi" w:cstheme="majorBidi"/>
            <w:szCs w:val="24"/>
            <w:lang w:val="pt-BR"/>
          </w:rPr>
          <w:t>http://intersex.shadowreport.org/public/2018-CRC-Argentina-Intersex-Justicia-Brujula-StopIGM_v2.pdf</w:t>
        </w:r>
      </w:hyperlink>
      <w:r>
        <w:rPr>
          <w:rFonts w:asciiTheme="majorBidi" w:hAnsiTheme="majorBidi" w:cstheme="majorBidi"/>
          <w:szCs w:val="24"/>
          <w:lang w:val="pt-BR"/>
        </w:rPr>
        <w:t xml:space="preserve">; </w:t>
      </w:r>
      <w:r w:rsidRPr="00F12081">
        <w:rPr>
          <w:rFonts w:asciiTheme="majorBidi" w:hAnsiTheme="majorBidi" w:cstheme="majorBidi"/>
          <w:b/>
          <w:bCs/>
          <w:szCs w:val="24"/>
          <w:lang w:val="pt-BR"/>
        </w:rPr>
        <w:t>Spanien</w:t>
      </w:r>
      <w:r>
        <w:rPr>
          <w:rFonts w:asciiTheme="majorBidi" w:hAnsiTheme="majorBidi" w:cstheme="majorBidi"/>
          <w:szCs w:val="24"/>
          <w:lang w:val="pt-BR"/>
        </w:rPr>
        <w:t xml:space="preserve">: </w:t>
      </w:r>
      <w:r w:rsidRPr="0024604A">
        <w:rPr>
          <w:rFonts w:asciiTheme="majorBidi" w:hAnsiTheme="majorBidi" w:cstheme="majorBidi"/>
          <w:szCs w:val="24"/>
          <w:lang w:val="pt-BR"/>
        </w:rPr>
        <w:t>CRC/C/ESP/CO/5-6, para 24</w:t>
      </w:r>
      <w:r>
        <w:rPr>
          <w:rFonts w:asciiTheme="majorBidi" w:hAnsiTheme="majorBidi" w:cstheme="majorBidi"/>
          <w:szCs w:val="24"/>
          <w:lang w:val="pt-BR"/>
        </w:rPr>
        <w:t xml:space="preserve">, siehe auch </w:t>
      </w:r>
      <w:hyperlink r:id="rId18" w:history="1">
        <w:r w:rsidRPr="0025111D">
          <w:rPr>
            <w:rStyle w:val="Hyperlink"/>
            <w:rFonts w:asciiTheme="majorBidi" w:hAnsiTheme="majorBidi" w:cstheme="majorBidi"/>
            <w:szCs w:val="24"/>
            <w:lang w:val="pt-BR"/>
          </w:rPr>
          <w:t>http://intersex.shadowreport.org/public/2019-CCPR-LOIPR-Spain-Intersex-Brujula-StopIGM.pdf</w:t>
        </w:r>
      </w:hyperlink>
      <w:r>
        <w:rPr>
          <w:rFonts w:asciiTheme="majorBidi" w:hAnsiTheme="majorBidi" w:cstheme="majorBidi"/>
          <w:szCs w:val="24"/>
          <w:lang w:val="pt-BR"/>
        </w:rPr>
        <w:t xml:space="preserve"> </w:t>
      </w:r>
    </w:p>
  </w:footnote>
  <w:footnote w:id="12">
    <w:p w14:paraId="5BB0A014" w14:textId="55D1C19F" w:rsidR="003256AF" w:rsidRPr="00605FC6" w:rsidRDefault="003256AF" w:rsidP="00F0441C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19" w:history="1">
        <w:r w:rsidRPr="0025111D">
          <w:rPr>
            <w:rStyle w:val="Hyperlink"/>
            <w:lang w:val="de-DE"/>
          </w:rPr>
          <w:t>https://grapevine.is/news/2019/06/19/iceland-passes-major-gender-identity-law-the-fight-is-far-from-over/</w:t>
        </w:r>
      </w:hyperlink>
      <w:r>
        <w:rPr>
          <w:lang w:val="de-DE"/>
        </w:rPr>
        <w:t xml:space="preserve"> </w:t>
      </w:r>
      <w:r>
        <w:rPr>
          <w:lang w:val="de-DE"/>
        </w:rPr>
        <w:br/>
      </w:r>
      <w:hyperlink r:id="rId20" w:history="1">
        <w:r w:rsidRPr="0025111D">
          <w:rPr>
            <w:rStyle w:val="Hyperlink"/>
            <w:sz w:val="15"/>
            <w:szCs w:val="15"/>
            <w:lang w:val="de-DE"/>
          </w:rPr>
          <w:t>https://www.reuters.com/article/iceland-lgbt-health/icelands-intersex-children-at-risk-as-without-new-protection-activist-says-idUSL1N20E1RT</w:t>
        </w:r>
      </w:hyperlink>
      <w:r>
        <w:rPr>
          <w:sz w:val="15"/>
          <w:szCs w:val="15"/>
          <w:lang w:val="de-DE"/>
        </w:rPr>
        <w:t xml:space="preserve"> </w:t>
      </w:r>
      <w:r w:rsidRPr="004D466C">
        <w:rPr>
          <w:sz w:val="15"/>
          <w:szCs w:val="15"/>
          <w:lang w:val="de-DE"/>
        </w:rPr>
        <w:t xml:space="preserve"> </w:t>
      </w:r>
      <w:r>
        <w:rPr>
          <w:lang w:val="de-DE"/>
        </w:rPr>
        <w:br/>
      </w:r>
      <w:hyperlink r:id="rId21" w:history="1">
        <w:r w:rsidRPr="0025111D">
          <w:rPr>
            <w:rStyle w:val="Hyperlink"/>
            <w:lang w:val="de-DE"/>
          </w:rPr>
          <w:t>https://www.amnesty.org/en/latest/news/2019/02/iceland-diverse-bodies-are-not-mistakes-to-be-corrected/</w:t>
        </w:r>
      </w:hyperlink>
      <w:r>
        <w:rPr>
          <w:lang w:val="de-DE"/>
        </w:rPr>
        <w:t xml:space="preserve"> </w:t>
      </w:r>
    </w:p>
  </w:footnote>
  <w:footnote w:id="13">
    <w:p w14:paraId="3BD7DCB6" w14:textId="77777777" w:rsidR="00446DA4" w:rsidRPr="00605FC6" w:rsidRDefault="00446DA4" w:rsidP="00446DA4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22" w:history="1">
        <w:r w:rsidRPr="0025111D">
          <w:rPr>
            <w:rStyle w:val="Hyperlink"/>
            <w:lang w:val="de-DE"/>
          </w:rPr>
          <w:t>http://zwischengeschlecht.org/public/Bundestag_2012-10-24_AFSFJ_Intersex-Fachgesprach_Protokoll.pdf</w:t>
        </w:r>
      </w:hyperlink>
      <w:r>
        <w:rPr>
          <w:lang w:val="de-DE"/>
        </w:rPr>
        <w:t xml:space="preserve"> </w:t>
      </w:r>
    </w:p>
  </w:footnote>
  <w:footnote w:id="14">
    <w:p w14:paraId="46C51DBA" w14:textId="7AC4282C" w:rsidR="003256AF" w:rsidRPr="00605FC6" w:rsidRDefault="003256AF" w:rsidP="00605FC6">
      <w:pPr>
        <w:pStyle w:val="fussnoteschattenbericht"/>
        <w:spacing w:line="264" w:lineRule="auto"/>
        <w:ind w:hanging="448"/>
        <w:rPr>
          <w:rStyle w:val="Funotenzeichen"/>
          <w:vertAlign w:val="baseline"/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lang w:val="de-DE"/>
        </w:rPr>
        <w:tab/>
      </w:r>
      <w:r w:rsidR="00A42CE9">
        <w:fldChar w:fldCharType="begin"/>
      </w:r>
      <w:r w:rsidR="00A42CE9" w:rsidRPr="00A321B1">
        <w:rPr>
          <w:lang w:val="de-CH"/>
        </w:rPr>
        <w:instrText xml:space="preserve"> HYPERLINK "http://Zwischengeschlecht.org/" </w:instrText>
      </w:r>
      <w:r w:rsidR="00A42CE9">
        <w:fldChar w:fldCharType="separate"/>
      </w:r>
      <w:r w:rsidRPr="00605FC6">
        <w:rPr>
          <w:rStyle w:val="Hyperlink"/>
          <w:spacing w:val="0"/>
          <w:lang w:val="de-DE"/>
        </w:rPr>
        <w:t>http://Zwischengeschlecht.org/</w:t>
      </w:r>
      <w:r w:rsidR="00A42CE9">
        <w:rPr>
          <w:rStyle w:val="Hyperlink"/>
          <w:spacing w:val="0"/>
          <w:lang w:val="de-DE"/>
        </w:rPr>
        <w:fldChar w:fldCharType="end"/>
      </w:r>
      <w:r w:rsidRPr="00605FC6">
        <w:rPr>
          <w:spacing w:val="0"/>
          <w:lang w:val="de-DE"/>
        </w:rPr>
        <w:t xml:space="preserve">  </w:t>
      </w:r>
      <w:r w:rsidRPr="00605FC6">
        <w:rPr>
          <w:lang w:val="de-DE"/>
        </w:rPr>
        <w:t xml:space="preserve">Weblog: </w:t>
      </w:r>
      <w:r w:rsidR="00A42CE9">
        <w:fldChar w:fldCharType="begin"/>
      </w:r>
      <w:r w:rsidR="00A42CE9" w:rsidRPr="00A321B1">
        <w:rPr>
          <w:lang w:val="de-CH"/>
        </w:rPr>
        <w:instrText xml:space="preserve"> HYPERLINK "http://blog.zwischengeschlecht.info/" </w:instrText>
      </w:r>
      <w:r w:rsidR="00A42CE9">
        <w:fldChar w:fldCharType="separate"/>
      </w:r>
      <w:r w:rsidRPr="00605FC6">
        <w:rPr>
          <w:rStyle w:val="Hyperlink"/>
          <w:lang w:val="de-DE"/>
        </w:rPr>
        <w:t>http://blog.zwischengeschlecht.info/</w:t>
      </w:r>
      <w:r w:rsidR="00A42CE9">
        <w:rPr>
          <w:rStyle w:val="Hyperlink"/>
          <w:lang w:val="de-DE"/>
        </w:rPr>
        <w:fldChar w:fldCharType="end"/>
      </w:r>
      <w:r w:rsidRPr="00605FC6">
        <w:rPr>
          <w:lang w:val="de-DE"/>
        </w:rPr>
        <w:t xml:space="preserve"> </w:t>
      </w:r>
    </w:p>
  </w:footnote>
  <w:footnote w:id="15">
    <w:p w14:paraId="56771D8E" w14:textId="77777777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lang w:val="de-DE"/>
        </w:rPr>
        <w:tab/>
      </w:r>
      <w:hyperlink r:id="rId23" w:history="1">
        <w:r w:rsidRPr="00605FC6">
          <w:rPr>
            <w:rStyle w:val="Hyperlink"/>
            <w:spacing w:val="0"/>
            <w:lang w:val="de-DE"/>
          </w:rPr>
          <w:t>http://zwischengeschlecht.org/post/Statuten</w:t>
        </w:r>
      </w:hyperlink>
      <w:r w:rsidRPr="00605FC6">
        <w:rPr>
          <w:rStyle w:val="Hyperlink"/>
          <w:spacing w:val="0"/>
          <w:lang w:val="de-DE"/>
        </w:rPr>
        <w:t xml:space="preserve"> </w:t>
      </w:r>
    </w:p>
  </w:footnote>
  <w:footnote w:id="16">
    <w:p w14:paraId="4C24816D" w14:textId="0B078112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24" w:history="1">
        <w:r w:rsidRPr="00605FC6">
          <w:rPr>
            <w:rStyle w:val="Hyperlink"/>
            <w:lang w:val="de-DE"/>
          </w:rPr>
          <w:t>http://intersex.shadowreport.org/</w:t>
        </w:r>
      </w:hyperlink>
      <w:r w:rsidRPr="00605FC6">
        <w:rPr>
          <w:lang w:val="de-DE"/>
        </w:rPr>
        <w:t xml:space="preserve"> </w:t>
      </w:r>
    </w:p>
  </w:footnote>
  <w:footnote w:id="17">
    <w:p w14:paraId="30188B81" w14:textId="241C4AFF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</w:r>
      <w:hyperlink r:id="rId25" w:history="1">
        <w:r w:rsidRPr="00605FC6">
          <w:rPr>
            <w:rStyle w:val="Hyperlink"/>
            <w:lang w:val="de-DE"/>
          </w:rPr>
          <w:t>http://stop.genitalmutilation.org/post/IAD-2016-Soon-20-UN-Reprimands-for-Intersex-Genital-Mutilations</w:t>
        </w:r>
      </w:hyperlink>
      <w:r w:rsidRPr="00605FC6">
        <w:rPr>
          <w:lang w:val="de-DE"/>
        </w:rPr>
        <w:t xml:space="preserve"> </w:t>
      </w:r>
    </w:p>
  </w:footnote>
  <w:footnote w:id="18">
    <w:p w14:paraId="0023580D" w14:textId="1F417067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lang w:val="de-DE"/>
        </w:rPr>
        <w:tab/>
        <w:t xml:space="preserve">Dirk Ruder (2008): Editorial “Chirurgie”, in: Gigi, Zeitschrift für sexuelle Emanzipation, Nr. 54 (März/April 2008), </w:t>
      </w:r>
      <w:hyperlink r:id="rId26" w:history="1">
        <w:r w:rsidRPr="00605FC6">
          <w:rPr>
            <w:rStyle w:val="Hyperlink"/>
            <w:lang w:val="de-DE"/>
          </w:rPr>
          <w:t>http://www.gigi-online.de/editorial54.htm</w:t>
        </w:r>
      </w:hyperlink>
      <w:r w:rsidRPr="00605FC6">
        <w:rPr>
          <w:lang w:val="de-DE"/>
        </w:rPr>
        <w:t xml:space="preserve"> </w:t>
      </w:r>
    </w:p>
  </w:footnote>
  <w:footnote w:id="19">
    <w:p w14:paraId="05A09AC6" w14:textId="7D098EC0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lang w:val="de-DE"/>
        </w:rPr>
        <w:tab/>
        <w:t xml:space="preserve">Christiane </w:t>
      </w:r>
      <w:proofErr w:type="spellStart"/>
      <w:r w:rsidRPr="00605FC6">
        <w:rPr>
          <w:lang w:val="de-DE"/>
        </w:rPr>
        <w:t>Völling</w:t>
      </w:r>
      <w:proofErr w:type="spellEnd"/>
      <w:r w:rsidRPr="00605FC6">
        <w:rPr>
          <w:lang w:val="de-DE"/>
        </w:rPr>
        <w:t xml:space="preserve">, Britta Julia </w:t>
      </w:r>
      <w:proofErr w:type="spellStart"/>
      <w:r w:rsidRPr="00605FC6">
        <w:rPr>
          <w:lang w:val="de-DE"/>
        </w:rPr>
        <w:t>Dombrowe</w:t>
      </w:r>
      <w:proofErr w:type="spellEnd"/>
      <w:r w:rsidRPr="00605FC6">
        <w:rPr>
          <w:lang w:val="de-DE"/>
        </w:rPr>
        <w:t xml:space="preserve"> (2010): “Ich war Mann und Frau. Mein Leben als Intersexuelle”, Köln: Fackelträger Verlag, S. 180-181, 184-185, 192, 195-196, 198-199, 232</w:t>
      </w:r>
    </w:p>
  </w:footnote>
  <w:footnote w:id="20">
    <w:p w14:paraId="21B473F8" w14:textId="665796CF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lang w:val="de-DE"/>
        </w:rPr>
        <w:tab/>
        <w:t xml:space="preserve">Elisa Barth, Ben Böttger, Dan Christian </w:t>
      </w:r>
      <w:proofErr w:type="spellStart"/>
      <w:r w:rsidRPr="00605FC6">
        <w:rPr>
          <w:lang w:val="de-DE"/>
        </w:rPr>
        <w:t>Ghattas</w:t>
      </w:r>
      <w:proofErr w:type="spellEnd"/>
      <w:r w:rsidRPr="00605FC6">
        <w:rPr>
          <w:lang w:val="de-DE"/>
        </w:rPr>
        <w:t xml:space="preserve"> (</w:t>
      </w:r>
      <w:proofErr w:type="spellStart"/>
      <w:r w:rsidRPr="00605FC6">
        <w:rPr>
          <w:lang w:val="de-DE"/>
        </w:rPr>
        <w:t>Hg</w:t>
      </w:r>
      <w:proofErr w:type="spellEnd"/>
      <w:r w:rsidRPr="00605FC6">
        <w:rPr>
          <w:lang w:val="de-DE"/>
        </w:rPr>
        <w:t>.) (2013): “</w:t>
      </w:r>
      <w:proofErr w:type="spellStart"/>
      <w:r w:rsidRPr="00605FC6">
        <w:rPr>
          <w:lang w:val="de-DE"/>
        </w:rPr>
        <w:t>Inter</w:t>
      </w:r>
      <w:proofErr w:type="spellEnd"/>
      <w:r w:rsidRPr="00605FC6">
        <w:rPr>
          <w:lang w:val="de-DE"/>
        </w:rPr>
        <w:t xml:space="preserve">: Erfahrungen intergeschlechtlicher Menschen in der Welt der zwei Geschlechter”, Berlin: </w:t>
      </w:r>
      <w:proofErr w:type="spellStart"/>
      <w:r w:rsidRPr="00605FC6">
        <w:rPr>
          <w:lang w:val="de-DE"/>
        </w:rPr>
        <w:t>NoNo</w:t>
      </w:r>
      <w:proofErr w:type="spellEnd"/>
      <w:r w:rsidRPr="00605FC6">
        <w:rPr>
          <w:lang w:val="de-DE"/>
        </w:rPr>
        <w:t xml:space="preserve"> Verlag, S. 121</w:t>
      </w:r>
    </w:p>
  </w:footnote>
  <w:footnote w:id="21">
    <w:p w14:paraId="7CBD601C" w14:textId="030EABB0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Daniela Truffer (Zwischengeschlecht.org) (2011): Statement öffentliche Anhörung Deutscher Ethikrat, S. 1-2, </w:t>
      </w:r>
      <w:hyperlink r:id="rId27" w:history="1">
        <w:r w:rsidRPr="00605FC6">
          <w:rPr>
            <w:rStyle w:val="Hyperlink"/>
            <w:lang w:val="de-DE"/>
          </w:rPr>
          <w:t>https://www.ethikrat.org/fileadmin/PDF-Dateien/Veranstaltungen/Truffer_-_Statement_Anhoerung.pdf</w:t>
        </w:r>
      </w:hyperlink>
    </w:p>
  </w:footnote>
  <w:footnote w:id="22">
    <w:p w14:paraId="39297ECD" w14:textId="73149DE5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Ibid., S. 3-4 </w:t>
      </w:r>
    </w:p>
  </w:footnote>
  <w:footnote w:id="23">
    <w:p w14:paraId="36320A7F" w14:textId="179D0182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u.a. JA-PED 2010: </w:t>
      </w:r>
      <w:hyperlink r:id="rId28" w:history="1">
        <w:r w:rsidRPr="00605FC6">
          <w:rPr>
            <w:rStyle w:val="Hyperlink"/>
            <w:lang w:val="de-DE"/>
          </w:rPr>
          <w:t>http://zwischengeschlecht.org/public/Offener_Brief_JA-PED_2010.pdf</w:t>
        </w:r>
      </w:hyperlink>
      <w:r w:rsidRPr="00605FC6">
        <w:rPr>
          <w:lang w:val="de-DE"/>
        </w:rPr>
        <w:t xml:space="preserve">; DGE 2011: </w:t>
      </w:r>
      <w:hyperlink r:id="rId29" w:history="1">
        <w:r w:rsidRPr="00605FC6">
          <w:rPr>
            <w:rStyle w:val="Hyperlink"/>
            <w:lang w:val="de-DE"/>
          </w:rPr>
          <w:t>http://zwischengeschlecht.org/public/Offener_Brief_DGE_2011.pdf</w:t>
        </w:r>
      </w:hyperlink>
      <w:r w:rsidRPr="00605FC6">
        <w:rPr>
          <w:lang w:val="de-DE"/>
        </w:rPr>
        <w:t xml:space="preserve">; DGU 2012: </w:t>
      </w:r>
      <w:hyperlink r:id="rId30" w:history="1">
        <w:r w:rsidRPr="00605FC6">
          <w:rPr>
            <w:rStyle w:val="Hyperlink"/>
            <w:lang w:val="de-DE"/>
          </w:rPr>
          <w:t>http://zwischengeschlecht.org/public/Offener_Brief_DGU_2012.pdf</w:t>
        </w:r>
      </w:hyperlink>
      <w:r w:rsidRPr="00605FC6">
        <w:rPr>
          <w:lang w:val="de-DE"/>
        </w:rPr>
        <w:t xml:space="preserve">; DGKJ und DGKCH 2012: </w:t>
      </w:r>
      <w:hyperlink r:id="rId31" w:history="1">
        <w:r w:rsidRPr="00605FC6">
          <w:rPr>
            <w:rStyle w:val="Hyperlink"/>
            <w:lang w:val="de-DE"/>
          </w:rPr>
          <w:t>http://zwischengeschlecht.org/public/Offener_Brief_DGKJ_2012.pdf</w:t>
        </w:r>
      </w:hyperlink>
      <w:r w:rsidRPr="00605FC6">
        <w:rPr>
          <w:lang w:val="de-DE"/>
        </w:rPr>
        <w:t xml:space="preserve">; AWMF 2014: </w:t>
      </w:r>
      <w:hyperlink r:id="rId32" w:history="1">
        <w:r w:rsidRPr="00605FC6">
          <w:rPr>
            <w:rStyle w:val="Hyperlink"/>
            <w:lang w:val="de-DE"/>
          </w:rPr>
          <w:t>http://zwischengeschlecht.org/public/Offener-Brief_AWFM-Intersex-DSD-Leitlinien_2014.pdf</w:t>
        </w:r>
      </w:hyperlink>
      <w:r w:rsidRPr="00605FC6">
        <w:rPr>
          <w:lang w:val="de-DE"/>
        </w:rPr>
        <w:t xml:space="preserve">; </w:t>
      </w:r>
      <w:proofErr w:type="spellStart"/>
      <w:r w:rsidRPr="00605FC6">
        <w:rPr>
          <w:lang w:val="de-DE"/>
        </w:rPr>
        <w:t>DSDnet</w:t>
      </w:r>
      <w:proofErr w:type="spellEnd"/>
      <w:r w:rsidRPr="00605FC6">
        <w:rPr>
          <w:lang w:val="de-DE"/>
        </w:rPr>
        <w:t xml:space="preserve">, </w:t>
      </w:r>
      <w:proofErr w:type="spellStart"/>
      <w:r w:rsidRPr="00605FC6">
        <w:rPr>
          <w:lang w:val="de-DE"/>
        </w:rPr>
        <w:t>eUROGEN</w:t>
      </w:r>
      <w:proofErr w:type="spellEnd"/>
      <w:r w:rsidRPr="00605FC6">
        <w:rPr>
          <w:lang w:val="de-DE"/>
        </w:rPr>
        <w:t xml:space="preserve">, Endo-ERN, DSD-Life u.a. 2017: </w:t>
      </w:r>
      <w:hyperlink r:id="rId33" w:history="1">
        <w:r w:rsidRPr="00605FC6">
          <w:rPr>
            <w:rStyle w:val="Hyperlink"/>
            <w:lang w:val="de-DE"/>
          </w:rPr>
          <w:t>http://stop.genitalmutilation.org/public/Open_Letter_I-DSD_Copenhagen_2017.pdf</w:t>
        </w:r>
      </w:hyperlink>
      <w:r w:rsidRPr="00605FC6">
        <w:rPr>
          <w:lang w:val="de-DE"/>
        </w:rPr>
        <w:t>; u.v.a.m.</w:t>
      </w:r>
    </w:p>
  </w:footnote>
  <w:footnote w:id="24">
    <w:p w14:paraId="4B64CE55" w14:textId="07064D7E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Vgl. Aussagen von Susanne </w:t>
      </w:r>
      <w:proofErr w:type="spellStart"/>
      <w:r w:rsidRPr="00605FC6">
        <w:rPr>
          <w:lang w:val="de-DE"/>
        </w:rPr>
        <w:t>Krege</w:t>
      </w:r>
      <w:proofErr w:type="spellEnd"/>
      <w:r w:rsidRPr="00605FC6">
        <w:rPr>
          <w:lang w:val="de-DE"/>
        </w:rPr>
        <w:t xml:space="preserve"> (Mitkoordinatorin der neuen S2k Leitlinie zu Varianten der Geschlechtsentwicklung), u.a. im Spiegel 22/2014, Scan: </w:t>
      </w:r>
      <w:hyperlink r:id="rId34" w:history="1">
        <w:r w:rsidRPr="00605FC6">
          <w:rPr>
            <w:rStyle w:val="Hyperlink"/>
            <w:lang w:val="de-DE"/>
          </w:rPr>
          <w:t>http://blog.zwischengeschlecht.info/post/2014/06/28/Krege-Proteste-Leitlinie-Spiegel-22-2014</w:t>
        </w:r>
      </w:hyperlink>
      <w:r w:rsidRPr="00605FC6">
        <w:rPr>
          <w:lang w:val="de-DE"/>
        </w:rPr>
        <w:t xml:space="preserve"> und Rundfunk Berlin-Brandenburg </w:t>
      </w:r>
      <w:proofErr w:type="spellStart"/>
      <w:r w:rsidRPr="00605FC6">
        <w:rPr>
          <w:lang w:val="de-DE"/>
        </w:rPr>
        <w:t>rbb</w:t>
      </w:r>
      <w:proofErr w:type="spellEnd"/>
      <w:r w:rsidRPr="00605FC6">
        <w:rPr>
          <w:lang w:val="de-DE"/>
        </w:rPr>
        <w:t xml:space="preserve"> (Kulturradio am Vormittag, Fr 16.05.2014, 09:10 h), Transkript: </w:t>
      </w:r>
      <w:hyperlink r:id="rId35" w:history="1">
        <w:r w:rsidRPr="00605FC6">
          <w:rPr>
            <w:rStyle w:val="Hyperlink"/>
            <w:lang w:val="de-DE"/>
          </w:rPr>
          <w:t>http://blog.zwischengeschlecht.info/post/2014/05/25/Krege-Intersex-Leitlinie-Interview</w:t>
        </w:r>
      </w:hyperlink>
      <w:r w:rsidRPr="00605FC6">
        <w:rPr>
          <w:lang w:val="de-DE"/>
        </w:rPr>
        <w:t xml:space="preserve"> </w:t>
      </w:r>
    </w:p>
  </w:footnote>
  <w:footnote w:id="25">
    <w:p w14:paraId="446E8D9A" w14:textId="1A68CF97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>IMAG (</w:t>
      </w:r>
      <w:proofErr w:type="spellStart"/>
      <w:r w:rsidRPr="00605FC6">
        <w:rPr>
          <w:lang w:val="de-DE"/>
        </w:rPr>
        <w:t>Hg</w:t>
      </w:r>
      <w:proofErr w:type="spellEnd"/>
      <w:r w:rsidRPr="00605FC6">
        <w:rPr>
          <w:lang w:val="de-DE"/>
        </w:rPr>
        <w:t xml:space="preserve">.) (2015): “Gutachten: Begrifflichkeiten, Definitionen und disziplinäre Zugänge zu Trans- und Intergeschlechtlichkeiten. Begleitmaterial zur Interministeriellen Arbeitsgruppe Inter- &amp; Transsexualität – Band 1.”, Berlin, BMFSFJ, S. 64, 67, 72, 75: </w:t>
      </w:r>
      <w:hyperlink r:id="rId36" w:history="1">
        <w:r w:rsidRPr="00605FC6">
          <w:rPr>
            <w:rStyle w:val="Hyperlink"/>
            <w:lang w:val="de-DE"/>
          </w:rPr>
          <w:t>https://www.bmfsfj.de/blob/93956/ba3f7d5070103da9f2b62d08b23b2bac/imag-band-1-gutachten-begrifflichkeiten-data.pdf</w:t>
        </w:r>
      </w:hyperlink>
      <w:r w:rsidRPr="00605FC6">
        <w:rPr>
          <w:lang w:val="de-DE"/>
        </w:rPr>
        <w:t xml:space="preserve"> </w:t>
      </w:r>
    </w:p>
  </w:footnote>
  <w:footnote w:id="26">
    <w:p w14:paraId="5C30BD28" w14:textId="74593AFF" w:rsidR="003256AF" w:rsidRPr="00605FC6" w:rsidRDefault="003256AF" w:rsidP="00605FC6">
      <w:pPr>
        <w:pStyle w:val="fussnoteschattenbericht"/>
        <w:spacing w:line="264" w:lineRule="auto"/>
        <w:ind w:hanging="448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>IMAG (</w:t>
      </w:r>
      <w:proofErr w:type="spellStart"/>
      <w:r w:rsidRPr="00605FC6">
        <w:rPr>
          <w:lang w:val="de-DE"/>
        </w:rPr>
        <w:t>Hg</w:t>
      </w:r>
      <w:proofErr w:type="spellEnd"/>
      <w:r w:rsidRPr="00605FC6">
        <w:rPr>
          <w:lang w:val="de-DE"/>
        </w:rPr>
        <w:t xml:space="preserve">.) (2017): “Gutachten: Geschlechtervielfalt im Recht. Status quo und Entwicklung von Regelungsmodellen zur Anerkennung und zum Schutz von Geschlechtervielfalt. Begleitmaterial zur Interministeriellen Arbeitsgruppe Inter- &amp; Transsexualität – Band 8.”, Berlin, BMFSFJ, S. 74, </w:t>
      </w:r>
      <w:hyperlink r:id="rId37" w:history="1">
        <w:r w:rsidRPr="00605FC6">
          <w:rPr>
            <w:rStyle w:val="Hyperlink"/>
            <w:lang w:val="de-DE"/>
          </w:rPr>
          <w:t>https://www.bmfsfj.de/blob/114066/8a02a557eab695bf7179ff2e92d0ab28/imag-band-8-geschlechtervielfalt-im-recht-data.pdf</w:t>
        </w:r>
      </w:hyperlink>
      <w:r w:rsidRPr="00605FC6">
        <w:rPr>
          <w:lang w:val="de-DE"/>
        </w:rPr>
        <w:t xml:space="preserve">  </w:t>
      </w:r>
    </w:p>
  </w:footnote>
  <w:footnote w:id="27">
    <w:p w14:paraId="1529E428" w14:textId="77777777" w:rsidR="003256AF" w:rsidRPr="00605FC6" w:rsidRDefault="003256AF" w:rsidP="00605FC6">
      <w:pPr>
        <w:pStyle w:val="fussnoteschattenbericht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2018 CCPR Intersex NGO Report, </w:t>
      </w:r>
      <w:hyperlink r:id="rId38" w:history="1">
        <w:r w:rsidRPr="00605FC6">
          <w:rPr>
            <w:rStyle w:val="Hyperlink"/>
            <w:lang w:val="de-DE"/>
          </w:rPr>
          <w:t>http://intersex.shadowreport.org/public/2018-CCPR-LOIPR-Germany-NGO-Zwischengeschlecht-Intersex-IGM.pdf</w:t>
        </w:r>
      </w:hyperlink>
      <w:r w:rsidRPr="00605FC6">
        <w:rPr>
          <w:lang w:val="de-DE"/>
        </w:rPr>
        <w:t xml:space="preserve"> </w:t>
      </w:r>
    </w:p>
  </w:footnote>
  <w:footnote w:id="28">
    <w:p w14:paraId="03228077" w14:textId="77777777" w:rsidR="003256AF" w:rsidRPr="00605FC6" w:rsidRDefault="003256AF" w:rsidP="00605FC6">
      <w:pPr>
        <w:pStyle w:val="fussnoteschattenbericht"/>
        <w:rPr>
          <w:lang w:val="de-DE"/>
        </w:rPr>
      </w:pPr>
      <w:r w:rsidRPr="00605FC6">
        <w:rPr>
          <w:rStyle w:val="Funotenzeichen"/>
          <w:vertAlign w:val="baseline"/>
          <w:lang w:val="de-DE"/>
        </w:rPr>
        <w:footnoteRef/>
      </w:r>
      <w:r w:rsidRPr="00605FC6">
        <w:rPr>
          <w:rStyle w:val="Funotenzeichen"/>
          <w:vertAlign w:val="baseline"/>
          <w:lang w:val="de-DE"/>
        </w:rPr>
        <w:t xml:space="preserve"> </w:t>
      </w:r>
      <w:r w:rsidRPr="00605FC6">
        <w:rPr>
          <w:lang w:val="de-DE"/>
        </w:rPr>
        <w:tab/>
        <w:t xml:space="preserve">u.a. 2015 CRPD Intersex NGO Report, </w:t>
      </w:r>
      <w:hyperlink r:id="rId39" w:history="1">
        <w:r w:rsidRPr="00605FC6">
          <w:rPr>
            <w:rStyle w:val="Hyperlink"/>
            <w:lang w:val="de-DE"/>
          </w:rPr>
          <w:t>http://intersex.shadowreport.org/public/2015-CRPD-LoI-Germany_NGO-Report_Zwischengeschlecht_Intersex-IGM.pdf</w:t>
        </w:r>
      </w:hyperlink>
      <w:r w:rsidRPr="00605FC6">
        <w:rPr>
          <w:lang w:val="de-DE"/>
        </w:rPr>
        <w:t xml:space="preserve">  </w:t>
      </w:r>
    </w:p>
  </w:footnote>
  <w:footnote w:id="29">
    <w:p w14:paraId="5DA715F8" w14:textId="77777777" w:rsidR="003256AF" w:rsidRPr="00FE1545" w:rsidRDefault="003256AF" w:rsidP="00605FC6">
      <w:pPr>
        <w:pStyle w:val="fussnoteschattenbericht"/>
        <w:spacing w:line="264" w:lineRule="auto"/>
        <w:ind w:hanging="448"/>
      </w:pPr>
      <w:r w:rsidRPr="00605FC6">
        <w:rPr>
          <w:rStyle w:val="Funotenzeichen"/>
          <w:vertAlign w:val="baseline"/>
          <w:lang w:val="de-DE"/>
        </w:rPr>
        <w:footnoteRef/>
      </w:r>
      <w:r w:rsidRPr="00FE1545">
        <w:rPr>
          <w:rStyle w:val="Funotenzeichen"/>
          <w:vertAlign w:val="baseline"/>
        </w:rPr>
        <w:t xml:space="preserve"> </w:t>
      </w:r>
      <w:r w:rsidRPr="00FE1545">
        <w:tab/>
        <w:t xml:space="preserve">u.a. 2016 CEDAW Intersex NGO Report, </w:t>
      </w:r>
      <w:hyperlink r:id="rId40" w:history="1">
        <w:r w:rsidRPr="00FE1545">
          <w:rPr>
            <w:rStyle w:val="Hyperlink"/>
          </w:rPr>
          <w:t>http://intersex.shadowreport.org/public/2017-CEDAW-Germany-NGO-Zwischengeschlecht-Intersex-IGM.pdf</w:t>
        </w:r>
      </w:hyperlink>
      <w:r w:rsidRPr="00FE1545">
        <w:t xml:space="preserve"> </w:t>
      </w:r>
    </w:p>
  </w:footnote>
  <w:footnote w:id="30">
    <w:p w14:paraId="6E02A289" w14:textId="77777777" w:rsidR="003256AF" w:rsidRPr="00FE1545" w:rsidRDefault="003256AF" w:rsidP="00605FC6">
      <w:pPr>
        <w:pStyle w:val="fussnoteschattenbericht"/>
        <w:spacing w:line="264" w:lineRule="auto"/>
        <w:ind w:hanging="448"/>
      </w:pPr>
      <w:r w:rsidRPr="00605FC6">
        <w:rPr>
          <w:rStyle w:val="Funotenzeichen"/>
          <w:vertAlign w:val="baseline"/>
          <w:lang w:val="de-DE"/>
        </w:rPr>
        <w:footnoteRef/>
      </w:r>
      <w:r w:rsidRPr="00FE1545">
        <w:rPr>
          <w:rStyle w:val="Funotenzeichen"/>
          <w:vertAlign w:val="baseline"/>
        </w:rPr>
        <w:t xml:space="preserve"> </w:t>
      </w:r>
      <w:r w:rsidRPr="00FE1545">
        <w:tab/>
        <w:t xml:space="preserve">u.a. 2019 CAT Intersex NGO Report, </w:t>
      </w:r>
      <w:hyperlink r:id="rId41" w:history="1">
        <w:r w:rsidRPr="00FE1545">
          <w:rPr>
            <w:rStyle w:val="Hyperlink"/>
          </w:rPr>
          <w:t>http://intersex.shadowreport.org/public/2019-CAT-Germany-NGO-Intersex-StopIGM.pdf</w:t>
        </w:r>
      </w:hyperlink>
      <w:r w:rsidRPr="00FE1545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5303" w14:textId="77777777" w:rsidR="003256AF" w:rsidRPr="00F74BE8" w:rsidRDefault="003256AF" w:rsidP="00F74BE8">
    <w:pPr>
      <w:spacing w:after="0" w:line="240" w:lineRule="auto"/>
      <w:jc w:val="right"/>
      <w:rPr>
        <w:rFonts w:ascii="Century Gothic" w:hAnsi="Century Gothic" w:cs="Century Gothic"/>
        <w:color w:val="660066"/>
        <w:sz w:val="24"/>
      </w:rPr>
    </w:pPr>
    <w:r w:rsidRPr="007A5C86">
      <w:rPr>
        <w:rFonts w:ascii="Century Gothic" w:hAnsi="Century Gothic" w:cs="Century Gothic"/>
        <w:color w:val="660066"/>
        <w:sz w:val="24"/>
      </w:rPr>
      <w:fldChar w:fldCharType="begin"/>
    </w:r>
    <w:r>
      <w:rPr>
        <w:rFonts w:ascii="Century Gothic" w:hAnsi="Century Gothic" w:cs="Century Gothic"/>
        <w:color w:val="660066"/>
        <w:sz w:val="24"/>
      </w:rPr>
      <w:instrText>PAGE</w:instrText>
    </w:r>
    <w:r w:rsidRPr="007A5C86">
      <w:rPr>
        <w:rFonts w:ascii="Century Gothic" w:hAnsi="Century Gothic" w:cs="Century Gothic"/>
        <w:color w:val="660066"/>
        <w:sz w:val="24"/>
      </w:rPr>
      <w:instrText xml:space="preserve">   \* MERGEFORMAT</w:instrText>
    </w:r>
    <w:r w:rsidRPr="007A5C86">
      <w:rPr>
        <w:rFonts w:ascii="Century Gothic" w:hAnsi="Century Gothic" w:cs="Century Gothic"/>
        <w:color w:val="660066"/>
        <w:sz w:val="24"/>
      </w:rPr>
      <w:fldChar w:fldCharType="separate"/>
    </w:r>
    <w:r w:rsidR="00AF6A67">
      <w:rPr>
        <w:rFonts w:ascii="Century Gothic" w:hAnsi="Century Gothic" w:cs="Century Gothic"/>
        <w:noProof/>
        <w:color w:val="660066"/>
        <w:sz w:val="24"/>
      </w:rPr>
      <w:t>9</w:t>
    </w:r>
    <w:r w:rsidRPr="007A5C86">
      <w:rPr>
        <w:rFonts w:ascii="Century Gothic" w:hAnsi="Century Gothic" w:cs="Century Gothic"/>
        <w:color w:val="660066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B2DA" w14:textId="77777777" w:rsidR="003256AF" w:rsidRDefault="003256AF" w:rsidP="002C6F06">
    <w:pPr>
      <w:spacing w:after="0" w:line="240" w:lineRule="auto"/>
      <w:jc w:val="right"/>
      <w:rPr>
        <w:rFonts w:ascii="Century Gothic" w:hAnsi="Century Gothic" w:cs="Century Gothic"/>
        <w:color w:val="660066"/>
        <w:sz w:val="28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E136717" wp14:editId="39669720">
          <wp:simplePos x="0" y="0"/>
          <wp:positionH relativeFrom="column">
            <wp:posOffset>53975</wp:posOffset>
          </wp:positionH>
          <wp:positionV relativeFrom="paragraph">
            <wp:posOffset>-81915</wp:posOffset>
          </wp:positionV>
          <wp:extent cx="979805" cy="1139190"/>
          <wp:effectExtent l="0" t="0" r="0" b="0"/>
          <wp:wrapThrough wrapText="bothSides">
            <wp:wrapPolygon edited="0">
              <wp:start x="0" y="0"/>
              <wp:lineTo x="0" y="21431"/>
              <wp:lineTo x="21278" y="21431"/>
              <wp:lineTo x="21278" y="0"/>
              <wp:lineTo x="0" y="0"/>
            </wp:wrapPolygon>
          </wp:wrapThrough>
          <wp:docPr id="1" name="Bild 2" descr="Beschreibung: Macintosh HD:Users:PowerbookDT:Desktop:StopIGM_org-Logo-Briefkopf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PowerbookDT:Desktop:StopIGM_org-Logo-Briefkopf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color w:val="660066"/>
        <w:sz w:val="40"/>
      </w:rPr>
      <w:t>Zwischengeschlecht.org</w:t>
    </w:r>
  </w:p>
  <w:p w14:paraId="0F4BFCE9" w14:textId="77777777" w:rsidR="003256AF" w:rsidRDefault="003256AF" w:rsidP="002C6F06">
    <w:pPr>
      <w:spacing w:after="0" w:line="240" w:lineRule="auto"/>
      <w:jc w:val="right"/>
    </w:pPr>
    <w:r>
      <w:rPr>
        <w:rFonts w:ascii="Century Gothic" w:hAnsi="Century Gothic" w:cs="Century Gothic"/>
        <w:color w:val="660066"/>
        <w:sz w:val="28"/>
      </w:rPr>
      <w:t>Menschenrechte auch für Zwitter!</w:t>
    </w:r>
  </w:p>
  <w:p w14:paraId="71323475" w14:textId="77777777" w:rsidR="003256AF" w:rsidRPr="002A12D5" w:rsidRDefault="003256AF" w:rsidP="002C6F06">
    <w:pPr>
      <w:pStyle w:val="Kopfzeile"/>
    </w:pPr>
  </w:p>
  <w:p w14:paraId="6333E30F" w14:textId="477C3C1B" w:rsidR="003256AF" w:rsidRPr="002C6F06" w:rsidRDefault="003256AF" w:rsidP="002C6F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9E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176287"/>
    <w:multiLevelType w:val="hybridMultilevel"/>
    <w:tmpl w:val="9718000A"/>
    <w:lvl w:ilvl="0" w:tplc="9B4A0936">
      <w:numFmt w:val="bullet"/>
      <w:lvlText w:val="•"/>
      <w:lvlJc w:val="left"/>
      <w:pPr>
        <w:ind w:left="720" w:hanging="360"/>
      </w:pPr>
      <w:rPr>
        <w:rFonts w:ascii="Times New Roman" w:eastAsia="Baskerville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A6E11"/>
    <w:multiLevelType w:val="hybridMultilevel"/>
    <w:tmpl w:val="1A4418D8"/>
    <w:lvl w:ilvl="0" w:tplc="F46A270A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D4B33"/>
    <w:multiLevelType w:val="hybridMultilevel"/>
    <w:tmpl w:val="86B44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4348"/>
    <w:multiLevelType w:val="hybridMultilevel"/>
    <w:tmpl w:val="8DDEE06E"/>
    <w:lvl w:ilvl="0" w:tplc="71AEBF6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0701C5"/>
    <w:multiLevelType w:val="hybridMultilevel"/>
    <w:tmpl w:val="02DE5A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1690C"/>
    <w:multiLevelType w:val="hybridMultilevel"/>
    <w:tmpl w:val="837A3D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5B15"/>
    <w:multiLevelType w:val="hybridMultilevel"/>
    <w:tmpl w:val="86B44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696C"/>
    <w:multiLevelType w:val="hybridMultilevel"/>
    <w:tmpl w:val="56C40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627EC"/>
    <w:multiLevelType w:val="hybridMultilevel"/>
    <w:tmpl w:val="86B44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64404"/>
    <w:multiLevelType w:val="multilevel"/>
    <w:tmpl w:val="2F6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D26EE"/>
    <w:multiLevelType w:val="hybridMultilevel"/>
    <w:tmpl w:val="46ACA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07BD7"/>
    <w:multiLevelType w:val="hybridMultilevel"/>
    <w:tmpl w:val="53125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014E5"/>
    <w:multiLevelType w:val="hybridMultilevel"/>
    <w:tmpl w:val="0374E2E4"/>
    <w:lvl w:ilvl="0" w:tplc="15E680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79C007D"/>
    <w:multiLevelType w:val="hybridMultilevel"/>
    <w:tmpl w:val="B8FE8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30050"/>
    <w:multiLevelType w:val="hybridMultilevel"/>
    <w:tmpl w:val="ED14D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94E"/>
    <w:multiLevelType w:val="hybridMultilevel"/>
    <w:tmpl w:val="AA0E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3D06"/>
    <w:multiLevelType w:val="hybridMultilevel"/>
    <w:tmpl w:val="B5ACF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747DD"/>
    <w:multiLevelType w:val="hybridMultilevel"/>
    <w:tmpl w:val="67EC3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C7F2F"/>
    <w:multiLevelType w:val="multilevel"/>
    <w:tmpl w:val="273A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9"/>
  </w:num>
  <w:num w:numId="16">
    <w:abstractNumId w:val="20"/>
  </w:num>
  <w:num w:numId="17">
    <w:abstractNumId w:val="13"/>
  </w:num>
  <w:num w:numId="18">
    <w:abstractNumId w:val="22"/>
  </w:num>
  <w:num w:numId="19">
    <w:abstractNumId w:val="11"/>
  </w:num>
  <w:num w:numId="20">
    <w:abstractNumId w:val="14"/>
  </w:num>
  <w:num w:numId="21">
    <w:abstractNumId w:val="19"/>
  </w:num>
  <w:num w:numId="22">
    <w:abstractNumId w:val="2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9"/>
    <w:rsid w:val="0000435E"/>
    <w:rsid w:val="0000751C"/>
    <w:rsid w:val="00031253"/>
    <w:rsid w:val="00033F4B"/>
    <w:rsid w:val="0003501F"/>
    <w:rsid w:val="00043F6B"/>
    <w:rsid w:val="000441AC"/>
    <w:rsid w:val="00046241"/>
    <w:rsid w:val="00050EAC"/>
    <w:rsid w:val="00064617"/>
    <w:rsid w:val="00065C38"/>
    <w:rsid w:val="00066FC1"/>
    <w:rsid w:val="000758B3"/>
    <w:rsid w:val="000764CF"/>
    <w:rsid w:val="00077801"/>
    <w:rsid w:val="000828C8"/>
    <w:rsid w:val="0008390C"/>
    <w:rsid w:val="000841A2"/>
    <w:rsid w:val="00087428"/>
    <w:rsid w:val="000906E3"/>
    <w:rsid w:val="00094104"/>
    <w:rsid w:val="000A11D8"/>
    <w:rsid w:val="000A40B6"/>
    <w:rsid w:val="000A4E09"/>
    <w:rsid w:val="000A64E7"/>
    <w:rsid w:val="000B5656"/>
    <w:rsid w:val="000B6070"/>
    <w:rsid w:val="000C09E2"/>
    <w:rsid w:val="000C0F56"/>
    <w:rsid w:val="000C477B"/>
    <w:rsid w:val="000C63B9"/>
    <w:rsid w:val="000C7211"/>
    <w:rsid w:val="000D3261"/>
    <w:rsid w:val="000D54E3"/>
    <w:rsid w:val="000E4B94"/>
    <w:rsid w:val="000F0E17"/>
    <w:rsid w:val="000F3228"/>
    <w:rsid w:val="001076AB"/>
    <w:rsid w:val="001158FE"/>
    <w:rsid w:val="001161BF"/>
    <w:rsid w:val="00117C8A"/>
    <w:rsid w:val="00120C4D"/>
    <w:rsid w:val="001237DD"/>
    <w:rsid w:val="001262D2"/>
    <w:rsid w:val="00141D3B"/>
    <w:rsid w:val="00145F00"/>
    <w:rsid w:val="00146777"/>
    <w:rsid w:val="0015009A"/>
    <w:rsid w:val="0016348A"/>
    <w:rsid w:val="001668FD"/>
    <w:rsid w:val="00171012"/>
    <w:rsid w:val="00171F46"/>
    <w:rsid w:val="001726B4"/>
    <w:rsid w:val="0017659D"/>
    <w:rsid w:val="00176CDE"/>
    <w:rsid w:val="00176F30"/>
    <w:rsid w:val="001809A5"/>
    <w:rsid w:val="001809B3"/>
    <w:rsid w:val="00190955"/>
    <w:rsid w:val="001A02AB"/>
    <w:rsid w:val="001B21F5"/>
    <w:rsid w:val="001B3CE4"/>
    <w:rsid w:val="001B76FE"/>
    <w:rsid w:val="001C348A"/>
    <w:rsid w:val="001D404A"/>
    <w:rsid w:val="001D4DB3"/>
    <w:rsid w:val="001D681C"/>
    <w:rsid w:val="001E759A"/>
    <w:rsid w:val="001E7A94"/>
    <w:rsid w:val="002005DF"/>
    <w:rsid w:val="00205FE7"/>
    <w:rsid w:val="00207892"/>
    <w:rsid w:val="00207C71"/>
    <w:rsid w:val="002167DF"/>
    <w:rsid w:val="00223DF2"/>
    <w:rsid w:val="002275A4"/>
    <w:rsid w:val="002320E4"/>
    <w:rsid w:val="002326A1"/>
    <w:rsid w:val="00234AA9"/>
    <w:rsid w:val="00237DA1"/>
    <w:rsid w:val="00240D02"/>
    <w:rsid w:val="0024212D"/>
    <w:rsid w:val="00243E82"/>
    <w:rsid w:val="0025579A"/>
    <w:rsid w:val="00264DC2"/>
    <w:rsid w:val="00272AC3"/>
    <w:rsid w:val="0027489C"/>
    <w:rsid w:val="00276BFD"/>
    <w:rsid w:val="00282E83"/>
    <w:rsid w:val="0028390D"/>
    <w:rsid w:val="00290A09"/>
    <w:rsid w:val="00292FB4"/>
    <w:rsid w:val="0029436B"/>
    <w:rsid w:val="00295D6B"/>
    <w:rsid w:val="002A09F4"/>
    <w:rsid w:val="002A0CD1"/>
    <w:rsid w:val="002A235A"/>
    <w:rsid w:val="002B2710"/>
    <w:rsid w:val="002B296A"/>
    <w:rsid w:val="002B47C8"/>
    <w:rsid w:val="002C0970"/>
    <w:rsid w:val="002C3181"/>
    <w:rsid w:val="002C3EDD"/>
    <w:rsid w:val="002C6033"/>
    <w:rsid w:val="002C6F06"/>
    <w:rsid w:val="002D00B1"/>
    <w:rsid w:val="002D1D01"/>
    <w:rsid w:val="002D2ABB"/>
    <w:rsid w:val="002D50D1"/>
    <w:rsid w:val="002E64A6"/>
    <w:rsid w:val="002F00B4"/>
    <w:rsid w:val="002F0581"/>
    <w:rsid w:val="002F0F83"/>
    <w:rsid w:val="002F7878"/>
    <w:rsid w:val="003044C5"/>
    <w:rsid w:val="00306737"/>
    <w:rsid w:val="00311E7E"/>
    <w:rsid w:val="003256AF"/>
    <w:rsid w:val="00335EEA"/>
    <w:rsid w:val="0033606B"/>
    <w:rsid w:val="0034138F"/>
    <w:rsid w:val="003516AA"/>
    <w:rsid w:val="00352972"/>
    <w:rsid w:val="00353F68"/>
    <w:rsid w:val="0035417B"/>
    <w:rsid w:val="0035685E"/>
    <w:rsid w:val="003607E1"/>
    <w:rsid w:val="00365E24"/>
    <w:rsid w:val="003675C9"/>
    <w:rsid w:val="00371C65"/>
    <w:rsid w:val="003807F4"/>
    <w:rsid w:val="00382C3B"/>
    <w:rsid w:val="00383A15"/>
    <w:rsid w:val="003935F0"/>
    <w:rsid w:val="00396E38"/>
    <w:rsid w:val="003A5408"/>
    <w:rsid w:val="003B01A4"/>
    <w:rsid w:val="003B03EE"/>
    <w:rsid w:val="003B3B29"/>
    <w:rsid w:val="003C2E8D"/>
    <w:rsid w:val="003C747D"/>
    <w:rsid w:val="003C7B75"/>
    <w:rsid w:val="003D0872"/>
    <w:rsid w:val="003D55CB"/>
    <w:rsid w:val="003E1B43"/>
    <w:rsid w:val="003E7F52"/>
    <w:rsid w:val="0040082B"/>
    <w:rsid w:val="00407297"/>
    <w:rsid w:val="0040757C"/>
    <w:rsid w:val="00410B61"/>
    <w:rsid w:val="00411B1C"/>
    <w:rsid w:val="0041248C"/>
    <w:rsid w:val="00420BB6"/>
    <w:rsid w:val="00426E79"/>
    <w:rsid w:val="00426FB9"/>
    <w:rsid w:val="0042781E"/>
    <w:rsid w:val="00435205"/>
    <w:rsid w:val="004377C7"/>
    <w:rsid w:val="00442714"/>
    <w:rsid w:val="00446DA4"/>
    <w:rsid w:val="00447F3C"/>
    <w:rsid w:val="00460E24"/>
    <w:rsid w:val="00463A2F"/>
    <w:rsid w:val="00465E3F"/>
    <w:rsid w:val="00474AF2"/>
    <w:rsid w:val="00482EEC"/>
    <w:rsid w:val="00491714"/>
    <w:rsid w:val="004A3447"/>
    <w:rsid w:val="004A3D43"/>
    <w:rsid w:val="004B47CA"/>
    <w:rsid w:val="004B7FF5"/>
    <w:rsid w:val="004C4C84"/>
    <w:rsid w:val="004D466C"/>
    <w:rsid w:val="004E23D1"/>
    <w:rsid w:val="004E2F8B"/>
    <w:rsid w:val="004E48C1"/>
    <w:rsid w:val="004E671B"/>
    <w:rsid w:val="004F0DB4"/>
    <w:rsid w:val="004F673C"/>
    <w:rsid w:val="00500063"/>
    <w:rsid w:val="00510837"/>
    <w:rsid w:val="00511F8B"/>
    <w:rsid w:val="00521DA3"/>
    <w:rsid w:val="00522347"/>
    <w:rsid w:val="00525603"/>
    <w:rsid w:val="00527106"/>
    <w:rsid w:val="00541599"/>
    <w:rsid w:val="0054174A"/>
    <w:rsid w:val="00543F73"/>
    <w:rsid w:val="00545B97"/>
    <w:rsid w:val="0054666F"/>
    <w:rsid w:val="00552F8F"/>
    <w:rsid w:val="00553604"/>
    <w:rsid w:val="005541D9"/>
    <w:rsid w:val="005574A0"/>
    <w:rsid w:val="00557A4E"/>
    <w:rsid w:val="005602AA"/>
    <w:rsid w:val="0056212D"/>
    <w:rsid w:val="005657A9"/>
    <w:rsid w:val="00567BB8"/>
    <w:rsid w:val="00567CB3"/>
    <w:rsid w:val="00571511"/>
    <w:rsid w:val="0057320B"/>
    <w:rsid w:val="0057435F"/>
    <w:rsid w:val="00577EA1"/>
    <w:rsid w:val="00580859"/>
    <w:rsid w:val="00581111"/>
    <w:rsid w:val="00581A68"/>
    <w:rsid w:val="0058252D"/>
    <w:rsid w:val="005840E4"/>
    <w:rsid w:val="00587466"/>
    <w:rsid w:val="00595E54"/>
    <w:rsid w:val="005A662F"/>
    <w:rsid w:val="005B2CF4"/>
    <w:rsid w:val="005B360C"/>
    <w:rsid w:val="005B46A5"/>
    <w:rsid w:val="005B4C42"/>
    <w:rsid w:val="005B6577"/>
    <w:rsid w:val="005C01D4"/>
    <w:rsid w:val="005C147F"/>
    <w:rsid w:val="005D0F25"/>
    <w:rsid w:val="00605E44"/>
    <w:rsid w:val="00605FC6"/>
    <w:rsid w:val="006135C6"/>
    <w:rsid w:val="00615E91"/>
    <w:rsid w:val="00617D20"/>
    <w:rsid w:val="00620403"/>
    <w:rsid w:val="00620FD8"/>
    <w:rsid w:val="00633EB7"/>
    <w:rsid w:val="006373FA"/>
    <w:rsid w:val="006415C6"/>
    <w:rsid w:val="006454F8"/>
    <w:rsid w:val="006524F3"/>
    <w:rsid w:val="00652F2A"/>
    <w:rsid w:val="006575D4"/>
    <w:rsid w:val="00670370"/>
    <w:rsid w:val="006707CC"/>
    <w:rsid w:val="0068699E"/>
    <w:rsid w:val="00690808"/>
    <w:rsid w:val="00692CBA"/>
    <w:rsid w:val="006940D1"/>
    <w:rsid w:val="00695518"/>
    <w:rsid w:val="006A02E3"/>
    <w:rsid w:val="006A18C4"/>
    <w:rsid w:val="006A2FBA"/>
    <w:rsid w:val="006A35A8"/>
    <w:rsid w:val="006A4F95"/>
    <w:rsid w:val="006A5B6D"/>
    <w:rsid w:val="006A65E4"/>
    <w:rsid w:val="006B1BE8"/>
    <w:rsid w:val="006B29A1"/>
    <w:rsid w:val="006B5EC9"/>
    <w:rsid w:val="006B6392"/>
    <w:rsid w:val="006C727E"/>
    <w:rsid w:val="006D318E"/>
    <w:rsid w:val="006D55EB"/>
    <w:rsid w:val="006D6BE1"/>
    <w:rsid w:val="006E124B"/>
    <w:rsid w:val="006E3499"/>
    <w:rsid w:val="006E54B6"/>
    <w:rsid w:val="00702381"/>
    <w:rsid w:val="0071269C"/>
    <w:rsid w:val="00713BD8"/>
    <w:rsid w:val="007143B8"/>
    <w:rsid w:val="007149FF"/>
    <w:rsid w:val="007151DE"/>
    <w:rsid w:val="007210EC"/>
    <w:rsid w:val="0073041F"/>
    <w:rsid w:val="0073186E"/>
    <w:rsid w:val="00731BA8"/>
    <w:rsid w:val="00733A96"/>
    <w:rsid w:val="00740065"/>
    <w:rsid w:val="00744F30"/>
    <w:rsid w:val="00746909"/>
    <w:rsid w:val="007638E6"/>
    <w:rsid w:val="00766739"/>
    <w:rsid w:val="0076729A"/>
    <w:rsid w:val="00773CCB"/>
    <w:rsid w:val="007836E8"/>
    <w:rsid w:val="00790C98"/>
    <w:rsid w:val="00793512"/>
    <w:rsid w:val="00796DEE"/>
    <w:rsid w:val="007A0A2B"/>
    <w:rsid w:val="007A38AE"/>
    <w:rsid w:val="007A483E"/>
    <w:rsid w:val="007A5C86"/>
    <w:rsid w:val="007A61DF"/>
    <w:rsid w:val="007B72E5"/>
    <w:rsid w:val="007C0C61"/>
    <w:rsid w:val="007C291A"/>
    <w:rsid w:val="007D2697"/>
    <w:rsid w:val="007D3540"/>
    <w:rsid w:val="007E3942"/>
    <w:rsid w:val="007E49F2"/>
    <w:rsid w:val="007F138C"/>
    <w:rsid w:val="007F340E"/>
    <w:rsid w:val="00802EEE"/>
    <w:rsid w:val="00802F82"/>
    <w:rsid w:val="0080446E"/>
    <w:rsid w:val="00806763"/>
    <w:rsid w:val="00810B29"/>
    <w:rsid w:val="008200CA"/>
    <w:rsid w:val="00820189"/>
    <w:rsid w:val="00820698"/>
    <w:rsid w:val="00821993"/>
    <w:rsid w:val="00821F49"/>
    <w:rsid w:val="00823442"/>
    <w:rsid w:val="00823F3A"/>
    <w:rsid w:val="00837D69"/>
    <w:rsid w:val="00840DFF"/>
    <w:rsid w:val="0084466D"/>
    <w:rsid w:val="008521BF"/>
    <w:rsid w:val="00855D6E"/>
    <w:rsid w:val="00855ED0"/>
    <w:rsid w:val="008621EC"/>
    <w:rsid w:val="0086514F"/>
    <w:rsid w:val="00871F4E"/>
    <w:rsid w:val="00880EDB"/>
    <w:rsid w:val="00897681"/>
    <w:rsid w:val="008A1513"/>
    <w:rsid w:val="008A1A51"/>
    <w:rsid w:val="008A303A"/>
    <w:rsid w:val="008B776B"/>
    <w:rsid w:val="008B7D49"/>
    <w:rsid w:val="008C55A6"/>
    <w:rsid w:val="008D1235"/>
    <w:rsid w:val="008D1CDF"/>
    <w:rsid w:val="008D4867"/>
    <w:rsid w:val="008D5A5D"/>
    <w:rsid w:val="008E3136"/>
    <w:rsid w:val="008F413A"/>
    <w:rsid w:val="009007EA"/>
    <w:rsid w:val="00911B18"/>
    <w:rsid w:val="00922538"/>
    <w:rsid w:val="00923419"/>
    <w:rsid w:val="00931975"/>
    <w:rsid w:val="00931E2A"/>
    <w:rsid w:val="00933DAD"/>
    <w:rsid w:val="00936727"/>
    <w:rsid w:val="00941296"/>
    <w:rsid w:val="0094572E"/>
    <w:rsid w:val="0094612C"/>
    <w:rsid w:val="009479C8"/>
    <w:rsid w:val="00955368"/>
    <w:rsid w:val="00957465"/>
    <w:rsid w:val="009574A6"/>
    <w:rsid w:val="009650DB"/>
    <w:rsid w:val="00965CC8"/>
    <w:rsid w:val="00977FB5"/>
    <w:rsid w:val="0098487A"/>
    <w:rsid w:val="00986222"/>
    <w:rsid w:val="00987274"/>
    <w:rsid w:val="00993C8E"/>
    <w:rsid w:val="009948D7"/>
    <w:rsid w:val="009A059F"/>
    <w:rsid w:val="009A05B0"/>
    <w:rsid w:val="009A31D1"/>
    <w:rsid w:val="009A58B8"/>
    <w:rsid w:val="009B279E"/>
    <w:rsid w:val="009B5D4D"/>
    <w:rsid w:val="009B5EFF"/>
    <w:rsid w:val="009B7C85"/>
    <w:rsid w:val="009C181B"/>
    <w:rsid w:val="009D2F1F"/>
    <w:rsid w:val="009D75FA"/>
    <w:rsid w:val="009E16C5"/>
    <w:rsid w:val="009E2E1B"/>
    <w:rsid w:val="009F1BA1"/>
    <w:rsid w:val="009F1F5A"/>
    <w:rsid w:val="009F6FFE"/>
    <w:rsid w:val="00A001E8"/>
    <w:rsid w:val="00A007F8"/>
    <w:rsid w:val="00A07356"/>
    <w:rsid w:val="00A12D47"/>
    <w:rsid w:val="00A13526"/>
    <w:rsid w:val="00A14796"/>
    <w:rsid w:val="00A23E6A"/>
    <w:rsid w:val="00A25A68"/>
    <w:rsid w:val="00A26356"/>
    <w:rsid w:val="00A321B1"/>
    <w:rsid w:val="00A40D18"/>
    <w:rsid w:val="00A42CE9"/>
    <w:rsid w:val="00A45FFF"/>
    <w:rsid w:val="00A529D7"/>
    <w:rsid w:val="00A56930"/>
    <w:rsid w:val="00A6017A"/>
    <w:rsid w:val="00A60DB3"/>
    <w:rsid w:val="00A6167B"/>
    <w:rsid w:val="00A62E04"/>
    <w:rsid w:val="00A71E01"/>
    <w:rsid w:val="00A751E7"/>
    <w:rsid w:val="00A916E0"/>
    <w:rsid w:val="00AA4D00"/>
    <w:rsid w:val="00AA51BE"/>
    <w:rsid w:val="00AB12ED"/>
    <w:rsid w:val="00AB3C4D"/>
    <w:rsid w:val="00AC33EC"/>
    <w:rsid w:val="00AC7A95"/>
    <w:rsid w:val="00AD06E3"/>
    <w:rsid w:val="00AD12F1"/>
    <w:rsid w:val="00AD5876"/>
    <w:rsid w:val="00AE1AFE"/>
    <w:rsid w:val="00AE76FC"/>
    <w:rsid w:val="00AF166D"/>
    <w:rsid w:val="00AF639F"/>
    <w:rsid w:val="00AF6A67"/>
    <w:rsid w:val="00B00597"/>
    <w:rsid w:val="00B071D4"/>
    <w:rsid w:val="00B1105D"/>
    <w:rsid w:val="00B118D0"/>
    <w:rsid w:val="00B170C2"/>
    <w:rsid w:val="00B17B48"/>
    <w:rsid w:val="00B230F0"/>
    <w:rsid w:val="00B2743C"/>
    <w:rsid w:val="00B37660"/>
    <w:rsid w:val="00B42605"/>
    <w:rsid w:val="00B54B5B"/>
    <w:rsid w:val="00B64CEC"/>
    <w:rsid w:val="00B72D5E"/>
    <w:rsid w:val="00B7560F"/>
    <w:rsid w:val="00B76C69"/>
    <w:rsid w:val="00B80D0E"/>
    <w:rsid w:val="00B92972"/>
    <w:rsid w:val="00B95A7F"/>
    <w:rsid w:val="00BA2BF5"/>
    <w:rsid w:val="00BA5043"/>
    <w:rsid w:val="00BB2863"/>
    <w:rsid w:val="00BC27CD"/>
    <w:rsid w:val="00BD0D99"/>
    <w:rsid w:val="00BD16AB"/>
    <w:rsid w:val="00BD2A5F"/>
    <w:rsid w:val="00BD5C1C"/>
    <w:rsid w:val="00BE06EF"/>
    <w:rsid w:val="00BF2B55"/>
    <w:rsid w:val="00BF3588"/>
    <w:rsid w:val="00BF4660"/>
    <w:rsid w:val="00BF710F"/>
    <w:rsid w:val="00C04297"/>
    <w:rsid w:val="00C264C8"/>
    <w:rsid w:val="00C35405"/>
    <w:rsid w:val="00C3540C"/>
    <w:rsid w:val="00C4031D"/>
    <w:rsid w:val="00C41FC6"/>
    <w:rsid w:val="00C43ADC"/>
    <w:rsid w:val="00C51786"/>
    <w:rsid w:val="00C547EE"/>
    <w:rsid w:val="00C54D8E"/>
    <w:rsid w:val="00C628D1"/>
    <w:rsid w:val="00C666C3"/>
    <w:rsid w:val="00C67F79"/>
    <w:rsid w:val="00C7015B"/>
    <w:rsid w:val="00C73879"/>
    <w:rsid w:val="00C75399"/>
    <w:rsid w:val="00C8344D"/>
    <w:rsid w:val="00C845F3"/>
    <w:rsid w:val="00C85B2A"/>
    <w:rsid w:val="00C8771B"/>
    <w:rsid w:val="00C93B92"/>
    <w:rsid w:val="00C96C27"/>
    <w:rsid w:val="00CA1B9D"/>
    <w:rsid w:val="00CA1D4D"/>
    <w:rsid w:val="00CA2DE9"/>
    <w:rsid w:val="00CA57CB"/>
    <w:rsid w:val="00CB4079"/>
    <w:rsid w:val="00CB5AF5"/>
    <w:rsid w:val="00CB6F7B"/>
    <w:rsid w:val="00CC61D8"/>
    <w:rsid w:val="00CD2374"/>
    <w:rsid w:val="00CE777A"/>
    <w:rsid w:val="00D0167C"/>
    <w:rsid w:val="00D04243"/>
    <w:rsid w:val="00D1283C"/>
    <w:rsid w:val="00D179BA"/>
    <w:rsid w:val="00D21095"/>
    <w:rsid w:val="00D23157"/>
    <w:rsid w:val="00D266E6"/>
    <w:rsid w:val="00D30986"/>
    <w:rsid w:val="00D50E44"/>
    <w:rsid w:val="00D561FF"/>
    <w:rsid w:val="00D5668E"/>
    <w:rsid w:val="00D62C04"/>
    <w:rsid w:val="00D6376B"/>
    <w:rsid w:val="00D669B6"/>
    <w:rsid w:val="00D8310F"/>
    <w:rsid w:val="00D93025"/>
    <w:rsid w:val="00DA267C"/>
    <w:rsid w:val="00DA7426"/>
    <w:rsid w:val="00DB0BE3"/>
    <w:rsid w:val="00DB445D"/>
    <w:rsid w:val="00DC4DC4"/>
    <w:rsid w:val="00DC7068"/>
    <w:rsid w:val="00DD5239"/>
    <w:rsid w:val="00DD544F"/>
    <w:rsid w:val="00DD5765"/>
    <w:rsid w:val="00DD5977"/>
    <w:rsid w:val="00DE6EA6"/>
    <w:rsid w:val="00DE7161"/>
    <w:rsid w:val="00DF3D7B"/>
    <w:rsid w:val="00E024CF"/>
    <w:rsid w:val="00E064BF"/>
    <w:rsid w:val="00E0686F"/>
    <w:rsid w:val="00E12EA1"/>
    <w:rsid w:val="00E226A8"/>
    <w:rsid w:val="00E35E81"/>
    <w:rsid w:val="00E405E1"/>
    <w:rsid w:val="00E40DC5"/>
    <w:rsid w:val="00E46A1D"/>
    <w:rsid w:val="00E46FA4"/>
    <w:rsid w:val="00E507D6"/>
    <w:rsid w:val="00E711C6"/>
    <w:rsid w:val="00E7176C"/>
    <w:rsid w:val="00E81208"/>
    <w:rsid w:val="00E824B1"/>
    <w:rsid w:val="00E86ADC"/>
    <w:rsid w:val="00E9045D"/>
    <w:rsid w:val="00E963E6"/>
    <w:rsid w:val="00EB14F4"/>
    <w:rsid w:val="00EB582C"/>
    <w:rsid w:val="00EC4379"/>
    <w:rsid w:val="00ED27DF"/>
    <w:rsid w:val="00ED3B7C"/>
    <w:rsid w:val="00ED5A09"/>
    <w:rsid w:val="00EE4D92"/>
    <w:rsid w:val="00EF3FDB"/>
    <w:rsid w:val="00EF607C"/>
    <w:rsid w:val="00F02789"/>
    <w:rsid w:val="00F03B59"/>
    <w:rsid w:val="00F0441C"/>
    <w:rsid w:val="00F1001F"/>
    <w:rsid w:val="00F11832"/>
    <w:rsid w:val="00F12081"/>
    <w:rsid w:val="00F16D25"/>
    <w:rsid w:val="00F1738E"/>
    <w:rsid w:val="00F17A22"/>
    <w:rsid w:val="00F20343"/>
    <w:rsid w:val="00F213B0"/>
    <w:rsid w:val="00F23BE1"/>
    <w:rsid w:val="00F30910"/>
    <w:rsid w:val="00F3240B"/>
    <w:rsid w:val="00F3646C"/>
    <w:rsid w:val="00F424A1"/>
    <w:rsid w:val="00F533FF"/>
    <w:rsid w:val="00F54275"/>
    <w:rsid w:val="00F65789"/>
    <w:rsid w:val="00F74BE8"/>
    <w:rsid w:val="00F76CC5"/>
    <w:rsid w:val="00F777B5"/>
    <w:rsid w:val="00F84465"/>
    <w:rsid w:val="00F8745B"/>
    <w:rsid w:val="00F87C48"/>
    <w:rsid w:val="00F90A18"/>
    <w:rsid w:val="00F931BB"/>
    <w:rsid w:val="00F9445C"/>
    <w:rsid w:val="00F971BE"/>
    <w:rsid w:val="00FA414D"/>
    <w:rsid w:val="00FA5D1A"/>
    <w:rsid w:val="00FA76A1"/>
    <w:rsid w:val="00FD1912"/>
    <w:rsid w:val="00FD5992"/>
    <w:rsid w:val="00FE1545"/>
    <w:rsid w:val="00FE3DCB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914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DA4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1D9"/>
  </w:style>
  <w:style w:type="paragraph" w:styleId="Fuzeile">
    <w:name w:val="footer"/>
    <w:basedOn w:val="Standard"/>
    <w:link w:val="FuzeileZchn"/>
    <w:uiPriority w:val="99"/>
    <w:unhideWhenUsed/>
    <w:rsid w:val="0055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1D9"/>
  </w:style>
  <w:style w:type="paragraph" w:styleId="Funotentext">
    <w:name w:val="footnote text"/>
    <w:basedOn w:val="Standard"/>
    <w:link w:val="FunotentextZchn"/>
    <w:unhideWhenUsed/>
    <w:rsid w:val="00FA76A1"/>
    <w:rPr>
      <w:sz w:val="20"/>
      <w:szCs w:val="20"/>
    </w:rPr>
  </w:style>
  <w:style w:type="character" w:customStyle="1" w:styleId="FunotentextZchn">
    <w:name w:val="Fußnotentext Zchn"/>
    <w:link w:val="Funotentext"/>
    <w:rsid w:val="00FA76A1"/>
    <w:rPr>
      <w:lang w:eastAsia="en-US"/>
    </w:rPr>
  </w:style>
  <w:style w:type="character" w:styleId="Funotenzeichen">
    <w:name w:val="footnote reference"/>
    <w:uiPriority w:val="99"/>
    <w:unhideWhenUsed/>
    <w:rsid w:val="00FA76A1"/>
    <w:rPr>
      <w:vertAlign w:val="superscript"/>
    </w:rPr>
  </w:style>
  <w:style w:type="character" w:customStyle="1" w:styleId="Absatz-Standardschriftart1">
    <w:name w:val="Absatz-Standardschriftart1"/>
    <w:rsid w:val="00F9445C"/>
  </w:style>
  <w:style w:type="character" w:styleId="Hyperlink">
    <w:name w:val="Hyperlink"/>
    <w:uiPriority w:val="99"/>
    <w:rsid w:val="00F9445C"/>
    <w:rPr>
      <w:color w:val="000080"/>
      <w:u w:val="single"/>
    </w:rPr>
  </w:style>
  <w:style w:type="character" w:customStyle="1" w:styleId="Funotenzeichen1">
    <w:name w:val="Fußnotenzeichen1"/>
    <w:rsid w:val="00F9445C"/>
  </w:style>
  <w:style w:type="character" w:customStyle="1" w:styleId="Funotenzeichen2">
    <w:name w:val="Fußnotenzeichen2"/>
    <w:qFormat/>
    <w:rsid w:val="00F9445C"/>
    <w:rPr>
      <w:sz w:val="18"/>
      <w:vertAlign w:val="baseline"/>
    </w:rPr>
  </w:style>
  <w:style w:type="character" w:customStyle="1" w:styleId="Funotenzeichen3">
    <w:name w:val="Fußnotenzeichen3"/>
    <w:rsid w:val="00F9445C"/>
    <w:rPr>
      <w:vertAlign w:val="superscript"/>
    </w:rPr>
  </w:style>
  <w:style w:type="paragraph" w:customStyle="1" w:styleId="absatzschattenbericht">
    <w:name w:val="absatz schattenbericht"/>
    <w:basedOn w:val="Standard"/>
    <w:rsid w:val="00F9445C"/>
    <w:pPr>
      <w:widowControl w:val="0"/>
      <w:suppressAutoHyphens/>
      <w:autoSpaceDE w:val="0"/>
      <w:spacing w:after="113" w:line="288" w:lineRule="auto"/>
      <w:jc w:val="both"/>
      <w:textAlignment w:val="center"/>
    </w:pPr>
    <w:rPr>
      <w:rFonts w:ascii="Times New Roman" w:eastAsia="Baskerville" w:hAnsi="Times New Roman" w:cs="Baskerville"/>
      <w:color w:val="000000"/>
      <w:spacing w:val="2"/>
      <w:kern w:val="1"/>
      <w:sz w:val="24"/>
      <w:szCs w:val="24"/>
      <w:lang w:val="en-US" w:eastAsia="zh-CN" w:bidi="hi-IN"/>
    </w:rPr>
  </w:style>
  <w:style w:type="paragraph" w:customStyle="1" w:styleId="Title1">
    <w:name w:val="Title 1"/>
    <w:basedOn w:val="Standard"/>
    <w:rsid w:val="000F0E17"/>
    <w:pPr>
      <w:widowControl w:val="0"/>
      <w:suppressLineNumbers/>
      <w:suppressAutoHyphens/>
      <w:spacing w:before="120" w:after="120" w:line="240" w:lineRule="auto"/>
    </w:pPr>
    <w:rPr>
      <w:rFonts w:ascii="Arial" w:eastAsia="Helvetica-Bold" w:hAnsi="Arial" w:cs="Helvetica-Bold"/>
      <w:b/>
      <w:bCs/>
      <w:iCs/>
      <w:color w:val="5E175E"/>
      <w:spacing w:val="3"/>
      <w:kern w:val="1"/>
      <w:sz w:val="28"/>
      <w:szCs w:val="28"/>
      <w:lang w:val="de-DE" w:eastAsia="zh-CN" w:bidi="hi-IN"/>
    </w:rPr>
  </w:style>
  <w:style w:type="paragraph" w:customStyle="1" w:styleId="Title2">
    <w:name w:val="Title 2"/>
    <w:basedOn w:val="Standard"/>
    <w:rsid w:val="00F9445C"/>
    <w:pPr>
      <w:widowControl w:val="0"/>
      <w:suppressLineNumbers/>
      <w:suppressAutoHyphens/>
      <w:autoSpaceDE w:val="0"/>
      <w:spacing w:after="113" w:line="288" w:lineRule="atLeast"/>
      <w:textAlignment w:val="center"/>
    </w:pPr>
    <w:rPr>
      <w:rFonts w:ascii="Arial" w:eastAsia="Helvetica-Bold" w:hAnsi="Arial" w:cs="Arial"/>
      <w:b/>
      <w:bCs/>
      <w:iCs/>
      <w:color w:val="5E175E"/>
      <w:spacing w:val="2"/>
      <w:kern w:val="1"/>
      <w:sz w:val="24"/>
      <w:szCs w:val="28"/>
      <w:lang w:val="en-GB" w:eastAsia="zh-CN" w:bidi="hi-IN"/>
    </w:rPr>
  </w:style>
  <w:style w:type="paragraph" w:customStyle="1" w:styleId="Title3">
    <w:name w:val="Title 3"/>
    <w:basedOn w:val="Title2"/>
    <w:rsid w:val="00F9445C"/>
    <w:pPr>
      <w:spacing w:before="28" w:after="85"/>
    </w:pPr>
    <w:rPr>
      <w:color w:val="232657"/>
      <w:szCs w:val="24"/>
    </w:rPr>
  </w:style>
  <w:style w:type="character" w:customStyle="1" w:styleId="FootnoteSymbol">
    <w:name w:val="Footnote Symbol"/>
    <w:rsid w:val="004F673C"/>
    <w:rPr>
      <w:rFonts w:ascii="Times New Roman" w:hAnsi="Times New Roman"/>
      <w:sz w:val="20"/>
    </w:rPr>
  </w:style>
  <w:style w:type="character" w:styleId="BesuchterHyperlink">
    <w:name w:val="FollowedHyperlink"/>
    <w:uiPriority w:val="99"/>
    <w:rsid w:val="004F673C"/>
    <w:rPr>
      <w:color w:val="0070C0"/>
      <w:u w:val="single"/>
    </w:rPr>
  </w:style>
  <w:style w:type="paragraph" w:customStyle="1" w:styleId="fussnoteschattenbericht">
    <w:name w:val="fussnote schattenbericht"/>
    <w:basedOn w:val="Standard"/>
    <w:autoRedefine/>
    <w:rsid w:val="004F673C"/>
    <w:pPr>
      <w:widowControl w:val="0"/>
      <w:suppressAutoHyphens/>
      <w:autoSpaceDE w:val="0"/>
      <w:spacing w:after="0" w:line="288" w:lineRule="auto"/>
      <w:ind w:left="454" w:hanging="450"/>
      <w:textAlignment w:val="center"/>
    </w:pPr>
    <w:rPr>
      <w:rFonts w:ascii="Times New Roman" w:eastAsia="Baskerville" w:hAnsi="Times New Roman"/>
      <w:color w:val="000000"/>
      <w:spacing w:val="2"/>
      <w:kern w:val="1"/>
      <w:sz w:val="20"/>
      <w:szCs w:val="20"/>
      <w:lang w:val="en-US" w:eastAsia="zh-CN" w:bidi="hi-I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065"/>
    <w:rPr>
      <w:sz w:val="24"/>
      <w:szCs w:val="24"/>
    </w:rPr>
  </w:style>
  <w:style w:type="paragraph" w:customStyle="1" w:styleId="AbsatzConcludingObs">
    <w:name w:val="Absatz Concluding Obs"/>
    <w:basedOn w:val="absatzschattenbericht"/>
    <w:qFormat/>
    <w:rsid w:val="00F3646C"/>
    <w:pPr>
      <w:tabs>
        <w:tab w:val="left" w:pos="567"/>
        <w:tab w:val="left" w:pos="1134"/>
      </w:tabs>
    </w:pPr>
    <w:rPr>
      <w:i/>
      <w:iCs/>
      <w:lang w:val="fr-FR"/>
    </w:rPr>
  </w:style>
  <w:style w:type="character" w:customStyle="1" w:styleId="KommentartextZchn">
    <w:name w:val="Kommentartext Zchn"/>
    <w:link w:val="Kommentartext"/>
    <w:uiPriority w:val="99"/>
    <w:semiHidden/>
    <w:rsid w:val="00740065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065"/>
    <w:pPr>
      <w:suppressAutoHyphens/>
      <w:spacing w:after="0" w:line="240" w:lineRule="auto"/>
    </w:pPr>
    <w:rPr>
      <w:rFonts w:ascii="Times New Roman" w:eastAsia="SimSun" w:hAnsi="Times New Roman"/>
      <w:b/>
      <w:bCs/>
      <w:sz w:val="20"/>
      <w:szCs w:val="20"/>
      <w:lang w:val="fr-CH"/>
    </w:rPr>
  </w:style>
  <w:style w:type="character" w:customStyle="1" w:styleId="KommentarthemaZchn">
    <w:name w:val="Kommentarthema Zchn"/>
    <w:link w:val="Kommentarthema"/>
    <w:uiPriority w:val="99"/>
    <w:semiHidden/>
    <w:rsid w:val="00740065"/>
    <w:rPr>
      <w:rFonts w:ascii="Times New Roman" w:eastAsia="SimSun" w:hAnsi="Times New Roman"/>
      <w:b/>
      <w:bCs/>
      <w:sz w:val="24"/>
      <w:szCs w:val="24"/>
      <w:lang w:val="fr-CH" w:eastAsia="en-US"/>
    </w:rPr>
  </w:style>
  <w:style w:type="character" w:styleId="Endnotenzeichen">
    <w:name w:val="endnote reference"/>
    <w:aliases w:val="1_G"/>
    <w:rsid w:val="00426E79"/>
    <w:rPr>
      <w:rFonts w:ascii="Times New Roman" w:hAnsi="Times New Roman"/>
      <w:sz w:val="18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2A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85B2A"/>
    <w:rPr>
      <w:rFonts w:ascii="Calibri" w:eastAsia="MS Gothic" w:hAnsi="Calibri" w:cs="Times New Roman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463A2F"/>
    <w:pPr>
      <w:spacing w:after="160" w:line="259" w:lineRule="auto"/>
      <w:ind w:left="720"/>
      <w:contextualSpacing/>
    </w:pPr>
    <w:rPr>
      <w:lang w:val="es-MX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69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575D4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95"/>
    <w:rPr>
      <w:rFonts w:ascii="Times New Roman" w:hAnsi="Times New Roman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DA4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1D9"/>
  </w:style>
  <w:style w:type="paragraph" w:styleId="Fuzeile">
    <w:name w:val="footer"/>
    <w:basedOn w:val="Standard"/>
    <w:link w:val="FuzeileZchn"/>
    <w:uiPriority w:val="99"/>
    <w:unhideWhenUsed/>
    <w:rsid w:val="0055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1D9"/>
  </w:style>
  <w:style w:type="paragraph" w:styleId="Funotentext">
    <w:name w:val="footnote text"/>
    <w:basedOn w:val="Standard"/>
    <w:link w:val="FunotentextZchn"/>
    <w:unhideWhenUsed/>
    <w:rsid w:val="00FA76A1"/>
    <w:rPr>
      <w:sz w:val="20"/>
      <w:szCs w:val="20"/>
    </w:rPr>
  </w:style>
  <w:style w:type="character" w:customStyle="1" w:styleId="FunotentextZchn">
    <w:name w:val="Fußnotentext Zchn"/>
    <w:link w:val="Funotentext"/>
    <w:rsid w:val="00FA76A1"/>
    <w:rPr>
      <w:lang w:eastAsia="en-US"/>
    </w:rPr>
  </w:style>
  <w:style w:type="character" w:styleId="Funotenzeichen">
    <w:name w:val="footnote reference"/>
    <w:uiPriority w:val="99"/>
    <w:unhideWhenUsed/>
    <w:rsid w:val="00FA76A1"/>
    <w:rPr>
      <w:vertAlign w:val="superscript"/>
    </w:rPr>
  </w:style>
  <w:style w:type="character" w:customStyle="1" w:styleId="Absatz-Standardschriftart1">
    <w:name w:val="Absatz-Standardschriftart1"/>
    <w:rsid w:val="00F9445C"/>
  </w:style>
  <w:style w:type="character" w:styleId="Hyperlink">
    <w:name w:val="Hyperlink"/>
    <w:uiPriority w:val="99"/>
    <w:rsid w:val="00F9445C"/>
    <w:rPr>
      <w:color w:val="000080"/>
      <w:u w:val="single"/>
    </w:rPr>
  </w:style>
  <w:style w:type="character" w:customStyle="1" w:styleId="Funotenzeichen1">
    <w:name w:val="Fußnotenzeichen1"/>
    <w:rsid w:val="00F9445C"/>
  </w:style>
  <w:style w:type="character" w:customStyle="1" w:styleId="Funotenzeichen2">
    <w:name w:val="Fußnotenzeichen2"/>
    <w:qFormat/>
    <w:rsid w:val="00F9445C"/>
    <w:rPr>
      <w:sz w:val="18"/>
      <w:vertAlign w:val="baseline"/>
    </w:rPr>
  </w:style>
  <w:style w:type="character" w:customStyle="1" w:styleId="Funotenzeichen3">
    <w:name w:val="Fußnotenzeichen3"/>
    <w:rsid w:val="00F9445C"/>
    <w:rPr>
      <w:vertAlign w:val="superscript"/>
    </w:rPr>
  </w:style>
  <w:style w:type="paragraph" w:customStyle="1" w:styleId="absatzschattenbericht">
    <w:name w:val="absatz schattenbericht"/>
    <w:basedOn w:val="Standard"/>
    <w:rsid w:val="00F9445C"/>
    <w:pPr>
      <w:widowControl w:val="0"/>
      <w:suppressAutoHyphens/>
      <w:autoSpaceDE w:val="0"/>
      <w:spacing w:after="113" w:line="288" w:lineRule="auto"/>
      <w:jc w:val="both"/>
      <w:textAlignment w:val="center"/>
    </w:pPr>
    <w:rPr>
      <w:rFonts w:ascii="Times New Roman" w:eastAsia="Baskerville" w:hAnsi="Times New Roman" w:cs="Baskerville"/>
      <w:color w:val="000000"/>
      <w:spacing w:val="2"/>
      <w:kern w:val="1"/>
      <w:sz w:val="24"/>
      <w:szCs w:val="24"/>
      <w:lang w:val="en-US" w:eastAsia="zh-CN" w:bidi="hi-IN"/>
    </w:rPr>
  </w:style>
  <w:style w:type="paragraph" w:customStyle="1" w:styleId="Title1">
    <w:name w:val="Title 1"/>
    <w:basedOn w:val="Standard"/>
    <w:rsid w:val="000F0E17"/>
    <w:pPr>
      <w:widowControl w:val="0"/>
      <w:suppressLineNumbers/>
      <w:suppressAutoHyphens/>
      <w:spacing w:before="120" w:after="120" w:line="240" w:lineRule="auto"/>
    </w:pPr>
    <w:rPr>
      <w:rFonts w:ascii="Arial" w:eastAsia="Helvetica-Bold" w:hAnsi="Arial" w:cs="Helvetica-Bold"/>
      <w:b/>
      <w:bCs/>
      <w:iCs/>
      <w:color w:val="5E175E"/>
      <w:spacing w:val="3"/>
      <w:kern w:val="1"/>
      <w:sz w:val="28"/>
      <w:szCs w:val="28"/>
      <w:lang w:val="de-DE" w:eastAsia="zh-CN" w:bidi="hi-IN"/>
    </w:rPr>
  </w:style>
  <w:style w:type="paragraph" w:customStyle="1" w:styleId="Title2">
    <w:name w:val="Title 2"/>
    <w:basedOn w:val="Standard"/>
    <w:rsid w:val="00F9445C"/>
    <w:pPr>
      <w:widowControl w:val="0"/>
      <w:suppressLineNumbers/>
      <w:suppressAutoHyphens/>
      <w:autoSpaceDE w:val="0"/>
      <w:spacing w:after="113" w:line="288" w:lineRule="atLeast"/>
      <w:textAlignment w:val="center"/>
    </w:pPr>
    <w:rPr>
      <w:rFonts w:ascii="Arial" w:eastAsia="Helvetica-Bold" w:hAnsi="Arial" w:cs="Arial"/>
      <w:b/>
      <w:bCs/>
      <w:iCs/>
      <w:color w:val="5E175E"/>
      <w:spacing w:val="2"/>
      <w:kern w:val="1"/>
      <w:sz w:val="24"/>
      <w:szCs w:val="28"/>
      <w:lang w:val="en-GB" w:eastAsia="zh-CN" w:bidi="hi-IN"/>
    </w:rPr>
  </w:style>
  <w:style w:type="paragraph" w:customStyle="1" w:styleId="Title3">
    <w:name w:val="Title 3"/>
    <w:basedOn w:val="Title2"/>
    <w:rsid w:val="00F9445C"/>
    <w:pPr>
      <w:spacing w:before="28" w:after="85"/>
    </w:pPr>
    <w:rPr>
      <w:color w:val="232657"/>
      <w:szCs w:val="24"/>
    </w:rPr>
  </w:style>
  <w:style w:type="character" w:customStyle="1" w:styleId="FootnoteSymbol">
    <w:name w:val="Footnote Symbol"/>
    <w:rsid w:val="004F673C"/>
    <w:rPr>
      <w:rFonts w:ascii="Times New Roman" w:hAnsi="Times New Roman"/>
      <w:sz w:val="20"/>
    </w:rPr>
  </w:style>
  <w:style w:type="character" w:styleId="BesuchterHyperlink">
    <w:name w:val="FollowedHyperlink"/>
    <w:uiPriority w:val="99"/>
    <w:rsid w:val="004F673C"/>
    <w:rPr>
      <w:color w:val="0070C0"/>
      <w:u w:val="single"/>
    </w:rPr>
  </w:style>
  <w:style w:type="paragraph" w:customStyle="1" w:styleId="fussnoteschattenbericht">
    <w:name w:val="fussnote schattenbericht"/>
    <w:basedOn w:val="Standard"/>
    <w:autoRedefine/>
    <w:rsid w:val="004F673C"/>
    <w:pPr>
      <w:widowControl w:val="0"/>
      <w:suppressAutoHyphens/>
      <w:autoSpaceDE w:val="0"/>
      <w:spacing w:after="0" w:line="288" w:lineRule="auto"/>
      <w:ind w:left="454" w:hanging="450"/>
      <w:textAlignment w:val="center"/>
    </w:pPr>
    <w:rPr>
      <w:rFonts w:ascii="Times New Roman" w:eastAsia="Baskerville" w:hAnsi="Times New Roman"/>
      <w:color w:val="000000"/>
      <w:spacing w:val="2"/>
      <w:kern w:val="1"/>
      <w:sz w:val="20"/>
      <w:szCs w:val="20"/>
      <w:lang w:val="en-US" w:eastAsia="zh-CN" w:bidi="hi-I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065"/>
    <w:rPr>
      <w:sz w:val="24"/>
      <w:szCs w:val="24"/>
    </w:rPr>
  </w:style>
  <w:style w:type="paragraph" w:customStyle="1" w:styleId="AbsatzConcludingObs">
    <w:name w:val="Absatz Concluding Obs"/>
    <w:basedOn w:val="absatzschattenbericht"/>
    <w:qFormat/>
    <w:rsid w:val="00F3646C"/>
    <w:pPr>
      <w:tabs>
        <w:tab w:val="left" w:pos="567"/>
        <w:tab w:val="left" w:pos="1134"/>
      </w:tabs>
    </w:pPr>
    <w:rPr>
      <w:i/>
      <w:iCs/>
      <w:lang w:val="fr-FR"/>
    </w:rPr>
  </w:style>
  <w:style w:type="character" w:customStyle="1" w:styleId="KommentartextZchn">
    <w:name w:val="Kommentartext Zchn"/>
    <w:link w:val="Kommentartext"/>
    <w:uiPriority w:val="99"/>
    <w:semiHidden/>
    <w:rsid w:val="00740065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065"/>
    <w:pPr>
      <w:suppressAutoHyphens/>
      <w:spacing w:after="0" w:line="240" w:lineRule="auto"/>
    </w:pPr>
    <w:rPr>
      <w:rFonts w:ascii="Times New Roman" w:eastAsia="SimSun" w:hAnsi="Times New Roman"/>
      <w:b/>
      <w:bCs/>
      <w:sz w:val="20"/>
      <w:szCs w:val="20"/>
      <w:lang w:val="fr-CH"/>
    </w:rPr>
  </w:style>
  <w:style w:type="character" w:customStyle="1" w:styleId="KommentarthemaZchn">
    <w:name w:val="Kommentarthema Zchn"/>
    <w:link w:val="Kommentarthema"/>
    <w:uiPriority w:val="99"/>
    <w:semiHidden/>
    <w:rsid w:val="00740065"/>
    <w:rPr>
      <w:rFonts w:ascii="Times New Roman" w:eastAsia="SimSun" w:hAnsi="Times New Roman"/>
      <w:b/>
      <w:bCs/>
      <w:sz w:val="24"/>
      <w:szCs w:val="24"/>
      <w:lang w:val="fr-CH" w:eastAsia="en-US"/>
    </w:rPr>
  </w:style>
  <w:style w:type="character" w:styleId="Endnotenzeichen">
    <w:name w:val="endnote reference"/>
    <w:aliases w:val="1_G"/>
    <w:rsid w:val="00426E79"/>
    <w:rPr>
      <w:rFonts w:ascii="Times New Roman" w:hAnsi="Times New Roman"/>
      <w:sz w:val="18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2A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85B2A"/>
    <w:rPr>
      <w:rFonts w:ascii="Calibri" w:eastAsia="MS Gothic" w:hAnsi="Calibri" w:cs="Times New Roman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463A2F"/>
    <w:pPr>
      <w:spacing w:after="160" w:line="259" w:lineRule="auto"/>
      <w:ind w:left="720"/>
      <w:contextualSpacing/>
    </w:pPr>
    <w:rPr>
      <w:lang w:val="es-MX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69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575D4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95"/>
    <w:rPr>
      <w:rFonts w:ascii="Times New Roman" w:hAnsi="Times New Roman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top.genitalmutilation.org/post/Bearing-Witness-To-IGM-Canada" TargetMode="External"/><Relationship Id="rId13" Type="http://schemas.openxmlformats.org/officeDocument/2006/relationships/hyperlink" Target="http://blog.zwischengeschlecht.info/post/2015/04/17/UN-Behindertenrechtsausschuss-kritisiert-IGM-Deutschland" TargetMode="External"/><Relationship Id="rId18" Type="http://schemas.openxmlformats.org/officeDocument/2006/relationships/hyperlink" Target="http://intersex.shadowreport.org/public/2019-CCPR-LOIPR-Spain-Intersex-Brujula-StopIGM.pdf" TargetMode="External"/><Relationship Id="rId26" Type="http://schemas.openxmlformats.org/officeDocument/2006/relationships/hyperlink" Target="http://www.gigi-online.de/editorial54.htm" TargetMode="External"/><Relationship Id="rId39" Type="http://schemas.openxmlformats.org/officeDocument/2006/relationships/hyperlink" Target="http://intersex.shadowreport.org/public/2015-CRPD-LoI-Germany_NGO-Report_Zwischengeschlecht_Intersex-IGM.pdf" TargetMode="External"/><Relationship Id="rId3" Type="http://schemas.openxmlformats.org/officeDocument/2006/relationships/hyperlink" Target="https://www.psychosozial-verlag.de/catalog/dispatch-free.php?id=6799" TargetMode="External"/><Relationship Id="rId21" Type="http://schemas.openxmlformats.org/officeDocument/2006/relationships/hyperlink" Target="https://www.amnesty.org/en/latest/news/2019/02/iceland-diverse-bodies-are-not-mistakes-to-be-corrected/" TargetMode="External"/><Relationship Id="rId34" Type="http://schemas.openxmlformats.org/officeDocument/2006/relationships/hyperlink" Target="http://blog.zwischengeschlecht.info/post/2014/06/28/Krege-Proteste-Leitlinie-Spiegel-22-2014" TargetMode="External"/><Relationship Id="rId7" Type="http://schemas.openxmlformats.org/officeDocument/2006/relationships/hyperlink" Target="https://www.academia.edu/13117940/Should_surgery_for_hypospadias_be_performed_before_an_age_of_consent" TargetMode="External"/><Relationship Id="rId12" Type="http://schemas.openxmlformats.org/officeDocument/2006/relationships/hyperlink" Target="http://blog.zwischengeschlecht.info/post/2012/08/22/UN-Ausschuss-gegen-Folter-D-soll-kosmetische-Genitaloperationen-entschadigen" TargetMode="External"/><Relationship Id="rId17" Type="http://schemas.openxmlformats.org/officeDocument/2006/relationships/hyperlink" Target="http://intersex.shadowreport.org/public/2018-CRC-Argentina-Intersex-Justicia-Brujula-StopIGM_v2.pdf" TargetMode="External"/><Relationship Id="rId25" Type="http://schemas.openxmlformats.org/officeDocument/2006/relationships/hyperlink" Target="http://stop.genitalmutilation.org/post/IAD-2016-Soon-20-UN-Reprimands-for-Intersex-Genital-Mutilations" TargetMode="External"/><Relationship Id="rId33" Type="http://schemas.openxmlformats.org/officeDocument/2006/relationships/hyperlink" Target="http://stop.genitalmutilation.org/public/Open_Letter_I-DSD_Copenhagen_2017.pdf" TargetMode="External"/><Relationship Id="rId38" Type="http://schemas.openxmlformats.org/officeDocument/2006/relationships/hyperlink" Target="http://intersex.shadowreport.org/public/2018-CCPR-LOIPR-Germany-NGO-Zwischengeschlecht-Intersex-IGM.pdf" TargetMode="External"/><Relationship Id="rId2" Type="http://schemas.openxmlformats.org/officeDocument/2006/relationships/hyperlink" Target="http://blog.zwischengeschlecht.info/pages/%22Vernichtung-intersexueller-Menschen-in-westlichen-Kulturen%22-Flugblatt-AGGPG-%281998%29" TargetMode="External"/><Relationship Id="rId16" Type="http://schemas.openxmlformats.org/officeDocument/2006/relationships/hyperlink" Target="http://intersex.shadowreport.org/public/2019-CCPR-LOIPR-Spain-Intersex-Brujula-StopIGM.pdf" TargetMode="External"/><Relationship Id="rId20" Type="http://schemas.openxmlformats.org/officeDocument/2006/relationships/hyperlink" Target="https://www.reuters.com/article/iceland-lgbt-health/icelands-intersex-children-at-risk-as-without-new-protection-activist-says-idUSL1N20E1RT" TargetMode="External"/><Relationship Id="rId29" Type="http://schemas.openxmlformats.org/officeDocument/2006/relationships/hyperlink" Target="http://zwischengeschlecht.org/public/Offener_Brief_DGE_2011.pdf" TargetMode="External"/><Relationship Id="rId41" Type="http://schemas.openxmlformats.org/officeDocument/2006/relationships/hyperlink" Target="http://intersex.shadowreport.org/public/2019-CAT-Germany-NGO-Intersex-StopIGM.pdf" TargetMode="External"/><Relationship Id="rId1" Type="http://schemas.openxmlformats.org/officeDocument/2006/relationships/hyperlink" Target="http://blog.zwischengeschlecht.info/pages/Genitalverstuemmelungen-AGGPG-%281996%29" TargetMode="External"/><Relationship Id="rId6" Type="http://schemas.openxmlformats.org/officeDocument/2006/relationships/hyperlink" Target="http://intersex.shadowreport.org/public/2014-CRC-Swiss-NGO-Zwischengeschlecht-Intersex-IGM_v2.pdf" TargetMode="External"/><Relationship Id="rId11" Type="http://schemas.openxmlformats.org/officeDocument/2006/relationships/hyperlink" Target="http://blog.zwischengeschlecht.info/post/2017/03/06/Intersex-Genitalverstummelungen-UNO-Ohrfeige-fur-Deutschland" TargetMode="External"/><Relationship Id="rId24" Type="http://schemas.openxmlformats.org/officeDocument/2006/relationships/hyperlink" Target="http://intersex.shadowreport.org/" TargetMode="External"/><Relationship Id="rId32" Type="http://schemas.openxmlformats.org/officeDocument/2006/relationships/hyperlink" Target="http://zwischengeschlecht.org/public/Offener-Brief_AWFM-Intersex-DSD-Leitlinien_2014.pdf" TargetMode="External"/><Relationship Id="rId37" Type="http://schemas.openxmlformats.org/officeDocument/2006/relationships/hyperlink" Target="https://www.bmfsfj.de/blob/114066/8a02a557eab695bf7179ff2e92d0ab28/imag-band-8-geschlechtervielfalt-im-recht-data.pdf" TargetMode="External"/><Relationship Id="rId40" Type="http://schemas.openxmlformats.org/officeDocument/2006/relationships/hyperlink" Target="http://intersex.shadowreport.org/public/2017-CEDAW-Germany-NGO-Zwischengeschlecht-Intersex-IGM.pdf" TargetMode="External"/><Relationship Id="rId5" Type="http://schemas.openxmlformats.org/officeDocument/2006/relationships/hyperlink" Target="http://intersex.shadowreport.org/public/2017-CEDAW-Germany-NGO-Zwischengeschlecht-Intersex-IGM.pdf" TargetMode="External"/><Relationship Id="rId15" Type="http://schemas.openxmlformats.org/officeDocument/2006/relationships/hyperlink" Target="http://intersex.shadowreport.org/public/2019-CRC-Malta-NGO-Zwischengeschlecht-Intersex-IGM.pdf" TargetMode="External"/><Relationship Id="rId23" Type="http://schemas.openxmlformats.org/officeDocument/2006/relationships/hyperlink" Target="http://zwischengeschlecht.org/post/Statuten" TargetMode="External"/><Relationship Id="rId28" Type="http://schemas.openxmlformats.org/officeDocument/2006/relationships/hyperlink" Target="http://zwischengeschlecht.org/public/Offener_Brief_JA-PED_2010.pdf" TargetMode="External"/><Relationship Id="rId36" Type="http://schemas.openxmlformats.org/officeDocument/2006/relationships/hyperlink" Target="https://www.bmfsfj.de/blob/93956/ba3f7d5070103da9f2b62d08b23b2bac/imag-band-1-gutachten-begrifflichkeiten-data.pdf" TargetMode="External"/><Relationship Id="rId10" Type="http://schemas.openxmlformats.org/officeDocument/2006/relationships/hyperlink" Target="http://zwischengeschlecht.org/public/Bundestag_2012-10-24_AFSFJ_Intersex-Fachgesprach_Protokoll.pdf" TargetMode="External"/><Relationship Id="rId19" Type="http://schemas.openxmlformats.org/officeDocument/2006/relationships/hyperlink" Target="https://grapevine.is/news/2019/06/19/iceland-passes-major-gender-identity-law-the-fight-is-far-from-over/" TargetMode="External"/><Relationship Id="rId31" Type="http://schemas.openxmlformats.org/officeDocument/2006/relationships/hyperlink" Target="http://zwischengeschlecht.org/public/Offener_Brief_DGKJ_2012.pdf" TargetMode="External"/><Relationship Id="rId4" Type="http://schemas.openxmlformats.org/officeDocument/2006/relationships/hyperlink" Target="http://zwischengeschlecht.org/public/Zwischengeschlecht_Truffer_Fachtag_Hannover_Nov_2014_web.pdf" TargetMode="External"/><Relationship Id="rId9" Type="http://schemas.openxmlformats.org/officeDocument/2006/relationships/hyperlink" Target="https://ihra.org.au/31036/re-carla-family-court/" TargetMode="External"/><Relationship Id="rId14" Type="http://schemas.openxmlformats.org/officeDocument/2006/relationships/hyperlink" Target="http://blog.zwischengeschlecht.info/post/2014/05/30/WHO%2C-OHCHR%2C-UNICEF-4-mehr-verurteilen-Intersex-Sterilisationen-IGM" TargetMode="External"/><Relationship Id="rId22" Type="http://schemas.openxmlformats.org/officeDocument/2006/relationships/hyperlink" Target="http://zwischengeschlecht.org/public/Bundestag_2012-10-24_AFSFJ_Intersex-Fachgesprach_Protokoll.pdf" TargetMode="External"/><Relationship Id="rId27" Type="http://schemas.openxmlformats.org/officeDocument/2006/relationships/hyperlink" Target="https://www.ethikrat.org/fileadmin/PDF-Dateien/Veranstaltungen/Truffer_-_Statement_Anhoerung.pdf" TargetMode="External"/><Relationship Id="rId30" Type="http://schemas.openxmlformats.org/officeDocument/2006/relationships/hyperlink" Target="http://zwischengeschlecht.org/public/Offener_Brief_DGU_2012.pdf" TargetMode="External"/><Relationship Id="rId35" Type="http://schemas.openxmlformats.org/officeDocument/2006/relationships/hyperlink" Target="http://blog.zwischengeschlecht.info/post/2014/05/25/Krege-Intersex-Leitlinie-Inter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96E4-B663-41D1-AB32-CFEF7D1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2481</Words>
  <Characters>18763</Characters>
  <Application>Microsoft Office Word</Application>
  <DocSecurity>0</DocSecurity>
  <Lines>288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21158</CharactersWithSpaces>
  <SharedDoc>false</SharedDoc>
  <HyperlinkBase/>
  <HLinks>
    <vt:vector size="6" baseType="variant">
      <vt:variant>
        <vt:i4>458810</vt:i4>
      </vt:variant>
      <vt:variant>
        <vt:i4>-1</vt:i4>
      </vt:variant>
      <vt:variant>
        <vt:i4>2050</vt:i4>
      </vt:variant>
      <vt:variant>
        <vt:i4>1</vt:i4>
      </vt:variant>
      <vt:variant>
        <vt:lpwstr>StopIGM_org-Logo-Briefkopf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von Zwischengeschlecht.org zum BMJV-“Referentenentwurf eines Gesetzes zum Schutz von Kindern vor geschlechtsverändernden operativen Eingriffen”</dc:title>
  <dc:subject/>
  <dc:creator>Zwischengeschlecht.org / StopIGM.org (Daniela Truffer, Markus Bauer)</dc:creator>
  <cp:keywords/>
  <dc:description/>
  <cp:lastModifiedBy>Daniela Truffer</cp:lastModifiedBy>
  <cp:revision>122</cp:revision>
  <cp:lastPrinted>2020-02-14T11:22:00Z</cp:lastPrinted>
  <dcterms:created xsi:type="dcterms:W3CDTF">2020-02-14T18:30:00Z</dcterms:created>
  <dcterms:modified xsi:type="dcterms:W3CDTF">2020-02-14T21:21:00Z</dcterms:modified>
  <cp:category/>
</cp:coreProperties>
</file>